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CF" w:rsidRPr="00927915" w:rsidRDefault="00EF05CF" w:rsidP="00CA62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7915">
        <w:rPr>
          <w:rFonts w:ascii="Times New Roman" w:hAnsi="Times New Roman" w:cs="Times New Roman"/>
          <w:sz w:val="24"/>
          <w:szCs w:val="24"/>
        </w:rPr>
        <w:t xml:space="preserve">Privitak 3. Obrazac obrazloženja </w:t>
      </w:r>
      <w:r w:rsidR="009A7DB7" w:rsidRPr="00927915">
        <w:rPr>
          <w:rFonts w:ascii="Times New Roman" w:hAnsi="Times New Roman" w:cs="Times New Roman"/>
          <w:sz w:val="24"/>
          <w:szCs w:val="24"/>
        </w:rPr>
        <w:t xml:space="preserve">Posebnog dijela </w:t>
      </w:r>
      <w:r w:rsidRPr="00927915">
        <w:rPr>
          <w:rFonts w:ascii="Times New Roman" w:hAnsi="Times New Roman" w:cs="Times New Roman"/>
          <w:sz w:val="24"/>
          <w:szCs w:val="24"/>
        </w:rPr>
        <w:t>financijskog plana</w:t>
      </w:r>
      <w:r w:rsidR="003A6FFF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9A7DB7" w:rsidRPr="00927915">
        <w:rPr>
          <w:rFonts w:ascii="Times New Roman" w:hAnsi="Times New Roman" w:cs="Times New Roman"/>
          <w:sz w:val="24"/>
          <w:szCs w:val="24"/>
        </w:rPr>
        <w:t xml:space="preserve">2023. – 2025. </w:t>
      </w:r>
      <w:r w:rsidR="00CE00D8" w:rsidRPr="00927915">
        <w:rPr>
          <w:rFonts w:ascii="Times New Roman" w:hAnsi="Times New Roman" w:cs="Times New Roman"/>
          <w:sz w:val="24"/>
          <w:szCs w:val="24"/>
        </w:rPr>
        <w:t>SVEUČILIŠTE U ZAGREBU VETERINARSKI FAKULTET</w:t>
      </w:r>
    </w:p>
    <w:p w:rsidR="00EF05CF" w:rsidRPr="00927915" w:rsidRDefault="00EF05CF" w:rsidP="00CA622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Sažetak djelokruga rada proračunskog korisnika</w:t>
      </w:r>
    </w:p>
    <w:p w:rsidR="00191DDC" w:rsidRPr="00927915" w:rsidRDefault="00191DDC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27915">
        <w:rPr>
          <w:rFonts w:ascii="Times New Roman" w:hAnsi="Times New Roman" w:cs="Times New Roman"/>
          <w:sz w:val="24"/>
          <w:szCs w:val="24"/>
          <w:lang w:val="pl-PL"/>
        </w:rPr>
        <w:t>Veterinarski fakultet Sveučilišta u Zagrebu javno je visoko učilište koje ustrojava i izvodi sveučilišne studije te provodi znanstveni i visokostručni rad u području biomedicine i zdravstva, polju veterinarske medicine te ostalim srodnim područjima, kao i programe cjeloživotnog obrazovanja doktora veterinarske medicine. Tijekom</w:t>
      </w:r>
      <w:r w:rsidR="00E407C7"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 svojega stoljetnog postojanja Fakultet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 obavlja osnovnu obrazovno-znanstvenu funkciju u području veterinarske medicine. Sveučilišni diplomski studij danas se izvodi kao integrirani preddiplomski i diplomski studij veterinarske medicine i traje šest godina. Osim studija na hrvatskom jeziku, izvodi se i integrirani studij veterinarske medicine na engleskom jeziku. Na Veterinarskom se fakultetu izvodi i poslijediplomski sveučilišni doktorski studij Veterinarske znanosti, koji je 2017. godine od Agencije za znanost i visoko obrazovanje dobio oznaku visoke razine kvalitete, te brojni poslijediplomski specijalistički studiji. </w:t>
      </w:r>
    </w:p>
    <w:p w:rsidR="00191DDC" w:rsidRPr="00927915" w:rsidRDefault="00191DDC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Ak. god. 2020./2021. u prvu studijsku godinu Integriranog preddiplomskog i diplomskog sveučilišnog studija veterinarske </w:t>
      </w:r>
      <w:r w:rsidR="001C0B26"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medicine na hrvatskom jeziku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upisano</w:t>
      </w:r>
      <w:r w:rsidR="001C0B26"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 je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 135 studenata, čime je u potpunosti popunjena upisna kvota. Nastavu je ukupno pohađalo 785 studenta, 94 studenta upisalo je aposlventski status. Studij je je završio 128 doktora veterinarske medicine s prosječnom ocjenom 3.918. Veterinarski fakultet Sveučilišta u Zagrebu proveo je upis pete generacije studenata u program Integriranog preddiplomskog i diplomskog sveučilišnog studija veterinarske medicine na engleskom jeziku. Iste akademske godine Fakutetsko vijeće odobrilo je povećanje uspisne kvote s 25 na 35 studenata. </w:t>
      </w:r>
      <w:r w:rsidR="001C0B26" w:rsidRPr="00927915">
        <w:rPr>
          <w:rFonts w:ascii="Times New Roman" w:hAnsi="Times New Roman" w:cs="Times New Roman"/>
          <w:sz w:val="24"/>
          <w:szCs w:val="24"/>
          <w:lang w:val="pl-PL"/>
        </w:rPr>
        <w:t>Ukupno je na engleskom studiju u a</w:t>
      </w:r>
      <w:r w:rsidR="008860EE" w:rsidRPr="00927915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1C0B26"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407C7" w:rsidRPr="00927915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1C0B26" w:rsidRPr="00927915">
        <w:rPr>
          <w:rFonts w:ascii="Times New Roman" w:hAnsi="Times New Roman" w:cs="Times New Roman"/>
          <w:sz w:val="24"/>
          <w:szCs w:val="24"/>
          <w:lang w:val="pl-PL"/>
        </w:rPr>
        <w:t>od. 2020./2021. Na pet studijskih godina studiralo 92 studenta iz 29 zemalja svijeta.</w:t>
      </w:r>
    </w:p>
    <w:p w:rsidR="00E743B7" w:rsidRPr="00927915" w:rsidRDefault="00E407C7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Zbog </w:t>
      </w:r>
      <w:r w:rsidR="00E743B7" w:rsidRPr="00927915">
        <w:rPr>
          <w:rFonts w:ascii="Times New Roman" w:hAnsi="Times New Roman" w:cs="Times New Roman"/>
          <w:sz w:val="24"/>
          <w:szCs w:val="24"/>
        </w:rPr>
        <w:t>specifičnosti svoga rada na 58.000 m2</w:t>
      </w:r>
      <w:r w:rsidRPr="00927915">
        <w:rPr>
          <w:rFonts w:ascii="Times New Roman" w:hAnsi="Times New Roman" w:cs="Times New Roman"/>
          <w:sz w:val="24"/>
          <w:szCs w:val="24"/>
        </w:rPr>
        <w:t xml:space="preserve">, </w:t>
      </w:r>
      <w:r w:rsidR="00E743B7" w:rsidRPr="00927915">
        <w:rPr>
          <w:rFonts w:ascii="Times New Roman" w:hAnsi="Times New Roman" w:cs="Times New Roman"/>
          <w:sz w:val="24"/>
          <w:szCs w:val="24"/>
        </w:rPr>
        <w:t xml:space="preserve">a to je prvenstveno održavanje praktičnog djela nastave na vlastitim klinikama Fakulteta koje rade od 0-24 sata, logični su nešto viši izdaci za pokriće troškova poslovanja i nešto viši postotak nenastavnog osoblja  u </w:t>
      </w:r>
      <w:r w:rsidRPr="00927915">
        <w:rPr>
          <w:rFonts w:ascii="Times New Roman" w:hAnsi="Times New Roman" w:cs="Times New Roman"/>
          <w:sz w:val="24"/>
          <w:szCs w:val="24"/>
        </w:rPr>
        <w:t>odnosu na sveukupno zaposlene</w:t>
      </w:r>
      <w:r w:rsidR="00E743B7" w:rsidRPr="00927915">
        <w:rPr>
          <w:rFonts w:ascii="Times New Roman" w:hAnsi="Times New Roman" w:cs="Times New Roman"/>
          <w:sz w:val="24"/>
          <w:szCs w:val="24"/>
        </w:rPr>
        <w:t>,</w:t>
      </w:r>
      <w:r w:rsidRPr="00927915">
        <w:rPr>
          <w:rFonts w:ascii="Times New Roman" w:hAnsi="Times New Roman" w:cs="Times New Roman"/>
          <w:sz w:val="24"/>
          <w:szCs w:val="24"/>
        </w:rPr>
        <w:t xml:space="preserve"> no on je </w:t>
      </w:r>
      <w:r w:rsidR="00E743B7" w:rsidRPr="00927915">
        <w:rPr>
          <w:rFonts w:ascii="Times New Roman" w:hAnsi="Times New Roman" w:cs="Times New Roman"/>
          <w:sz w:val="24"/>
          <w:szCs w:val="24"/>
        </w:rPr>
        <w:t>čak je i nešto niži od prosjeka Sveučilišta. Naime, na klinikama Fakulteta smještene su životinje za nastavu kao i osigurani prostori za prijem bolesnih životinja koje ujedno čine i nastavni poligon za studente od VI semestr</w:t>
      </w:r>
      <w:r w:rsidRPr="00927915">
        <w:rPr>
          <w:rFonts w:ascii="Times New Roman" w:hAnsi="Times New Roman" w:cs="Times New Roman"/>
          <w:sz w:val="24"/>
          <w:szCs w:val="24"/>
        </w:rPr>
        <w:t xml:space="preserve">a pa do završnog XII semestra. </w:t>
      </w:r>
      <w:r w:rsidR="00E743B7" w:rsidRPr="00927915">
        <w:rPr>
          <w:rFonts w:ascii="Times New Roman" w:hAnsi="Times New Roman" w:cs="Times New Roman"/>
          <w:sz w:val="24"/>
          <w:szCs w:val="24"/>
        </w:rPr>
        <w:t xml:space="preserve">Ovakav način nastavnog programa iziskuje i veći broj  tehničkog i pomoćnog osoblja (veterinarski tehničari, veterinarski bolničari, pomoćni tehnički suradnici)  koje je zaduženo za održavanje klinika, brigu i prehranu smještenih životinja kao i pomoć i pripremu nastave u specijalističkim </w:t>
      </w:r>
      <w:r w:rsidR="00E743B7" w:rsidRPr="00927915">
        <w:rPr>
          <w:rFonts w:ascii="Times New Roman" w:hAnsi="Times New Roman" w:cs="Times New Roman"/>
          <w:sz w:val="24"/>
          <w:szCs w:val="24"/>
        </w:rPr>
        <w:lastRenderedPageBreak/>
        <w:t>ambulantama i kirurškim operacijskim salama. Pored kliničkih prostora u nastavi se koriste  i praktikumi te laboratoriji od kojih su neki akreditirani i obavljaju osim nastavne i znanstvene i stručnu djelatnost na tržištu te doprinose vlastitim prihodima fakulteta, a za koje se kroz ulaganja u prostor, opremu i kadrove nastoje osuvremeniti uvjeti rada i to najvećim djelom ulaganja vlastitih prihoda, jer se iz odobrenih proračunskih sredstava za investicijsko održavanje i ulaganje ovako veliki prostor ne može održavati niti u 10% nužno potrebnih popravaka i nabavke nove opreme</w:t>
      </w:r>
      <w:r w:rsidRPr="00927915">
        <w:rPr>
          <w:rFonts w:ascii="Times New Roman" w:hAnsi="Times New Roman" w:cs="Times New Roman"/>
          <w:sz w:val="24"/>
          <w:szCs w:val="24"/>
        </w:rPr>
        <w:t>.</w:t>
      </w:r>
    </w:p>
    <w:p w:rsidR="00E743B7" w:rsidRPr="00927915" w:rsidRDefault="00E743B7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Same klinike većim djelom u cijelosti udovoljavaju svojim prostorom, a teoretski zavodi većinom nastavnom procesu, zahvaljujući velikim ulaganjima unazad 10 godina, za što su sredstva osigurana iz dva sindicirana kredita putem Sveučilišta u Zagrebu, potpora Grada Zagreba,  ulaganjem vlastitih prihoda i manjim djelom nadležnog Ministarstva</w:t>
      </w:r>
    </w:p>
    <w:p w:rsidR="00F04095" w:rsidRPr="00927915" w:rsidRDefault="00E743B7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27915">
        <w:rPr>
          <w:rFonts w:ascii="Times New Roman" w:hAnsi="Times New Roman" w:cs="Times New Roman"/>
          <w:sz w:val="24"/>
          <w:szCs w:val="24"/>
          <w:lang w:val="pl-PL"/>
        </w:rPr>
        <w:t>Temeljna pretpostavka strateškog razvoja fakulteta je postati u potpunosti kompatibilnim s europskim standardima kvalitete veterinarskih fakulteta, a ujedno i postati vodeći veterinarski fakultet u regiji s razvijenim potencijalom transfera znanja i tehnologija na susjedne zemlje u regiji koje jesu ili će uskoro postati kandidatkinje za pristup EU.</w:t>
      </w:r>
    </w:p>
    <w:p w:rsidR="00927915" w:rsidRPr="00927915" w:rsidRDefault="00927915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815A6" w:rsidRPr="00927915" w:rsidRDefault="00846CD9" w:rsidP="00CA622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A621001 Redovna djelatnost Sveučilišta u Zagrebu</w:t>
      </w:r>
    </w:p>
    <w:p w:rsidR="00F04095" w:rsidRPr="00927915" w:rsidRDefault="00846CD9" w:rsidP="00CA622B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27915">
        <w:rPr>
          <w:rFonts w:ascii="Times New Roman" w:hAnsi="Times New Roman" w:cs="Times New Roman"/>
          <w:sz w:val="24"/>
          <w:szCs w:val="24"/>
          <w:lang w:val="pl-PL"/>
        </w:rPr>
        <w:t>Zakonske i druge pravne osnove</w:t>
      </w:r>
    </w:p>
    <w:p w:rsidR="00494E91" w:rsidRPr="00927915" w:rsidRDefault="00803911" w:rsidP="00351CD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494E91" w:rsidRPr="00927915">
          <w:rPr>
            <w:rFonts w:ascii="Times New Roman" w:hAnsi="Times New Roman" w:cs="Times New Roman"/>
            <w:color w:val="000000"/>
            <w:sz w:val="24"/>
            <w:szCs w:val="24"/>
          </w:rPr>
          <w:t>Zakon</w:t>
        </w:r>
      </w:hyperlink>
      <w:r w:rsidR="00494E91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o znanstvenoj djelatnosti i visokom obrazovanju</w:t>
      </w:r>
    </w:p>
    <w:p w:rsidR="00494E91" w:rsidRPr="00927915" w:rsidRDefault="00494E91" w:rsidP="00494E9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Zakon o proračunu</w:t>
      </w:r>
    </w:p>
    <w:p w:rsidR="00494E91" w:rsidRPr="00927915" w:rsidRDefault="00494E91" w:rsidP="00494E9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Zakon o fiskalnoj odgovornosti</w:t>
      </w:r>
    </w:p>
    <w:p w:rsidR="00F815A6" w:rsidRPr="007D0622" w:rsidRDefault="00494E91" w:rsidP="007D062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Uputa za izradu prijedloga fina</w:t>
      </w:r>
      <w:r w:rsidR="00FB7FC7">
        <w:rPr>
          <w:rFonts w:ascii="Times New Roman" w:hAnsi="Times New Roman" w:cs="Times New Roman"/>
          <w:sz w:val="24"/>
          <w:szCs w:val="24"/>
        </w:rPr>
        <w:t>ncijskog plana za razdoblje 2023</w:t>
      </w:r>
      <w:r w:rsidRPr="00927915">
        <w:rPr>
          <w:rFonts w:ascii="Times New Roman" w:hAnsi="Times New Roman" w:cs="Times New Roman"/>
          <w:sz w:val="24"/>
          <w:szCs w:val="24"/>
        </w:rPr>
        <w:t>. – 2025. godine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9"/>
        <w:gridCol w:w="1234"/>
        <w:gridCol w:w="1235"/>
        <w:gridCol w:w="1235"/>
        <w:gridCol w:w="1296"/>
        <w:gridCol w:w="1296"/>
        <w:gridCol w:w="1147"/>
      </w:tblGrid>
      <w:tr w:rsidR="007258E1" w:rsidRPr="00927915" w:rsidTr="002B49F1">
        <w:tc>
          <w:tcPr>
            <w:tcW w:w="1677" w:type="dxa"/>
            <w:shd w:val="clear" w:color="auto" w:fill="D0CECE" w:themeFill="background2" w:themeFillShade="E6"/>
          </w:tcPr>
          <w:p w:rsidR="00494E91" w:rsidRPr="00927915" w:rsidRDefault="00494E91" w:rsidP="00494E9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E91" w:rsidRPr="00927915" w:rsidRDefault="00494E91" w:rsidP="00494E9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D0CECE" w:themeFill="background2" w:themeFillShade="E6"/>
            <w:vAlign w:val="center"/>
          </w:tcPr>
          <w:p w:rsidR="00494E91" w:rsidRPr="00927915" w:rsidRDefault="00494E91" w:rsidP="00494E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Izvršenje 2021.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494E91" w:rsidRPr="00927915" w:rsidRDefault="00494E91" w:rsidP="00494E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2022.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494E91" w:rsidRPr="00927915" w:rsidRDefault="00494E91" w:rsidP="00494E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2023.</w:t>
            </w:r>
          </w:p>
        </w:tc>
        <w:tc>
          <w:tcPr>
            <w:tcW w:w="1241" w:type="dxa"/>
            <w:shd w:val="clear" w:color="auto" w:fill="D0CECE" w:themeFill="background2" w:themeFillShade="E6"/>
            <w:vAlign w:val="center"/>
          </w:tcPr>
          <w:p w:rsidR="00494E91" w:rsidRPr="00927915" w:rsidRDefault="00494E91" w:rsidP="00494E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494E91" w:rsidRPr="00927915" w:rsidRDefault="00494E91" w:rsidP="00494E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177" w:type="dxa"/>
            <w:shd w:val="clear" w:color="auto" w:fill="D0CECE" w:themeFill="background2" w:themeFillShade="E6"/>
            <w:vAlign w:val="center"/>
          </w:tcPr>
          <w:p w:rsidR="00494E91" w:rsidRPr="00927915" w:rsidRDefault="00494E91" w:rsidP="00494E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Indeks 23./22.</w:t>
            </w:r>
          </w:p>
        </w:tc>
      </w:tr>
      <w:tr w:rsidR="002B49F1" w:rsidRPr="00927915" w:rsidTr="002B49F1">
        <w:tc>
          <w:tcPr>
            <w:tcW w:w="1677" w:type="dxa"/>
          </w:tcPr>
          <w:p w:rsidR="002B49F1" w:rsidRPr="00927915" w:rsidRDefault="002B49F1" w:rsidP="002B49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A621001</w:t>
            </w:r>
          </w:p>
        </w:tc>
        <w:tc>
          <w:tcPr>
            <w:tcW w:w="1241" w:type="dxa"/>
          </w:tcPr>
          <w:p w:rsidR="002B49F1" w:rsidRPr="00927915" w:rsidRDefault="002B49F1" w:rsidP="002B49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8.439.128</w:t>
            </w:r>
          </w:p>
        </w:tc>
        <w:tc>
          <w:tcPr>
            <w:tcW w:w="1242" w:type="dxa"/>
          </w:tcPr>
          <w:p w:rsidR="002B49F1" w:rsidRPr="00927915" w:rsidRDefault="0013666D" w:rsidP="002B49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9.016.628</w:t>
            </w:r>
          </w:p>
        </w:tc>
        <w:tc>
          <w:tcPr>
            <w:tcW w:w="1242" w:type="dxa"/>
          </w:tcPr>
          <w:p w:rsidR="002B49F1" w:rsidRPr="002B49F1" w:rsidRDefault="00AF26F1" w:rsidP="002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9.957.363</w:t>
            </w:r>
          </w:p>
        </w:tc>
        <w:tc>
          <w:tcPr>
            <w:tcW w:w="1241" w:type="dxa"/>
          </w:tcPr>
          <w:p w:rsidR="002B49F1" w:rsidRPr="002B49F1" w:rsidRDefault="00AF26F1" w:rsidP="002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10.004.658</w:t>
            </w:r>
          </w:p>
        </w:tc>
        <w:tc>
          <w:tcPr>
            <w:tcW w:w="1242" w:type="dxa"/>
          </w:tcPr>
          <w:p w:rsidR="002B49F1" w:rsidRPr="002B49F1" w:rsidRDefault="00AF26F1" w:rsidP="002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10.052.195</w:t>
            </w:r>
          </w:p>
        </w:tc>
        <w:tc>
          <w:tcPr>
            <w:tcW w:w="1177" w:type="dxa"/>
          </w:tcPr>
          <w:p w:rsidR="002B49F1" w:rsidRPr="00927915" w:rsidRDefault="004B1287" w:rsidP="002B49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</w:tbl>
    <w:p w:rsidR="00F04095" w:rsidRPr="00927915" w:rsidRDefault="00F04095" w:rsidP="0049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046" w:rsidRPr="00927915" w:rsidRDefault="00494E91" w:rsidP="00DF6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Ova aktivnost sastoji se od sljedećih elemenata/podaktivnosti:</w:t>
      </w:r>
      <w:r w:rsidR="00DF6FAA" w:rsidRPr="0092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46" w:rsidRPr="00927915" w:rsidRDefault="00324046" w:rsidP="003240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plaće za zaposlene i plaće za posebne uvjete rada</w:t>
      </w:r>
    </w:p>
    <w:p w:rsidR="00324046" w:rsidRPr="00927915" w:rsidRDefault="00324046" w:rsidP="003240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materijalna prava zaposlenih</w:t>
      </w:r>
      <w:r w:rsidR="00DF6FAA" w:rsidRPr="0092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46" w:rsidRPr="00927915" w:rsidRDefault="00DF6FAA" w:rsidP="003240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lastRenderedPageBreak/>
        <w:t>doprinosi</w:t>
      </w:r>
      <w:r w:rsidR="00324046" w:rsidRPr="00927915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46" w:rsidRPr="00927915" w:rsidRDefault="00324046" w:rsidP="003240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naknada za prijevoz zaposlenika</w:t>
      </w:r>
    </w:p>
    <w:p w:rsidR="00324046" w:rsidRPr="00927915" w:rsidRDefault="00324046" w:rsidP="003240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sistematski pregledi</w:t>
      </w:r>
      <w:r w:rsidR="00DF6FAA" w:rsidRPr="0092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91" w:rsidRPr="00927915" w:rsidRDefault="00DF6FAA" w:rsidP="003240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naknade</w:t>
      </w:r>
      <w:r w:rsidR="00324046" w:rsidRPr="00927915">
        <w:rPr>
          <w:rFonts w:ascii="Times New Roman" w:hAnsi="Times New Roman" w:cs="Times New Roman"/>
          <w:sz w:val="24"/>
          <w:szCs w:val="24"/>
        </w:rPr>
        <w:t xml:space="preserve"> za zapošljavanje invalidnih</w:t>
      </w:r>
      <w:r w:rsidRPr="00927915">
        <w:rPr>
          <w:rFonts w:ascii="Times New Roman" w:hAnsi="Times New Roman" w:cs="Times New Roman"/>
          <w:sz w:val="24"/>
          <w:szCs w:val="24"/>
        </w:rPr>
        <w:t xml:space="preserve"> osoba.</w:t>
      </w:r>
    </w:p>
    <w:p w:rsidR="00494E91" w:rsidRPr="00927915" w:rsidRDefault="00494E91" w:rsidP="0049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Planirana sredstva za izvor 11 Opći prihodi i primici pod aktivnošću A621001 Redovna djelatnost Sveučilišta u Zagrebu temelje se na zadanim limitima Sveučilišta u Zagrebu za sastavnice. </w:t>
      </w:r>
      <w:r w:rsidR="00DF6FAA" w:rsidRPr="00927915">
        <w:rPr>
          <w:rFonts w:ascii="Times New Roman" w:hAnsi="Times New Roman" w:cs="Times New Roman"/>
          <w:sz w:val="24"/>
          <w:szCs w:val="24"/>
        </w:rPr>
        <w:t>Za 2023. godinu planirani su</w:t>
      </w:r>
      <w:r w:rsidR="007258E1">
        <w:rPr>
          <w:rFonts w:ascii="Times New Roman" w:hAnsi="Times New Roman" w:cs="Times New Roman"/>
          <w:sz w:val="24"/>
          <w:szCs w:val="24"/>
        </w:rPr>
        <w:t xml:space="preserve"> rashodi s povećanjem od </w:t>
      </w:r>
      <w:r w:rsidR="008E18D5">
        <w:rPr>
          <w:rFonts w:ascii="Times New Roman" w:hAnsi="Times New Roman" w:cs="Times New Roman"/>
          <w:sz w:val="24"/>
          <w:szCs w:val="24"/>
        </w:rPr>
        <w:t>7,28</w:t>
      </w:r>
      <w:r w:rsidR="00DF6FAA" w:rsidRPr="00927915">
        <w:rPr>
          <w:rFonts w:ascii="Times New Roman" w:hAnsi="Times New Roman" w:cs="Times New Roman"/>
          <w:sz w:val="24"/>
          <w:szCs w:val="24"/>
        </w:rPr>
        <w:t>% u odnosu na prethodnu godinu. Kod projekcija za 2024.g. i 2025.g. ukupna sredstva redovne</w:t>
      </w:r>
      <w:r w:rsidR="00927915" w:rsidRPr="00927915">
        <w:rPr>
          <w:rFonts w:ascii="Times New Roman" w:hAnsi="Times New Roman" w:cs="Times New Roman"/>
          <w:sz w:val="24"/>
          <w:szCs w:val="24"/>
        </w:rPr>
        <w:t xml:space="preserve"> djelatnosti </w:t>
      </w:r>
      <w:r w:rsidR="002B49F1">
        <w:rPr>
          <w:rFonts w:ascii="Times New Roman" w:hAnsi="Times New Roman" w:cs="Times New Roman"/>
          <w:sz w:val="24"/>
          <w:szCs w:val="24"/>
        </w:rPr>
        <w:t>planirane su s povećanjem od 0,48%</w:t>
      </w:r>
      <w:r w:rsidR="00DF6FAA" w:rsidRPr="00927915">
        <w:rPr>
          <w:rFonts w:ascii="Times New Roman" w:hAnsi="Times New Roman" w:cs="Times New Roman"/>
          <w:sz w:val="24"/>
          <w:szCs w:val="24"/>
        </w:rPr>
        <w:t>.</w:t>
      </w:r>
    </w:p>
    <w:p w:rsidR="00494E91" w:rsidRPr="00927915" w:rsidRDefault="009A7DB7" w:rsidP="00494E9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A622122 Programsko financiranje</w:t>
      </w:r>
      <w:r w:rsidR="00494E91" w:rsidRPr="00927915">
        <w:rPr>
          <w:rFonts w:ascii="Times New Roman" w:hAnsi="Times New Roman" w:cs="Times New Roman"/>
          <w:sz w:val="24"/>
          <w:szCs w:val="24"/>
        </w:rPr>
        <w:t xml:space="preserve"> Sveučilišta u Zagrebu</w:t>
      </w:r>
    </w:p>
    <w:p w:rsidR="00306178" w:rsidRPr="00927915" w:rsidRDefault="00306178" w:rsidP="00306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Ova aktivnost sastoji se od sljedećih elemenata/podaktivnosti:</w:t>
      </w:r>
    </w:p>
    <w:p w:rsidR="008E0E0E" w:rsidRPr="00927915" w:rsidRDefault="00306178" w:rsidP="008E0E0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programsko financiranje materijalnih troškova</w:t>
      </w:r>
    </w:p>
    <w:p w:rsidR="00F04095" w:rsidRPr="00927915" w:rsidRDefault="00306178" w:rsidP="008E0E0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potpore znanstvenim istraživanjima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733"/>
        <w:gridCol w:w="1236"/>
        <w:gridCol w:w="1222"/>
        <w:gridCol w:w="1222"/>
        <w:gridCol w:w="1221"/>
        <w:gridCol w:w="1222"/>
        <w:gridCol w:w="1206"/>
      </w:tblGrid>
      <w:tr w:rsidR="007258E1" w:rsidRPr="00927915" w:rsidTr="00B83F26">
        <w:tc>
          <w:tcPr>
            <w:tcW w:w="1838" w:type="dxa"/>
            <w:shd w:val="clear" w:color="auto" w:fill="D0CECE" w:themeFill="background2" w:themeFillShade="E6"/>
          </w:tcPr>
          <w:p w:rsidR="00324046" w:rsidRPr="00927915" w:rsidRDefault="00324046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46" w:rsidRPr="00927915" w:rsidRDefault="00324046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:rsidR="00324046" w:rsidRPr="00927915" w:rsidRDefault="00324046" w:rsidP="003240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Izvršenje 2021.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324046" w:rsidRPr="00927915" w:rsidRDefault="00324046" w:rsidP="003240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2022.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324046" w:rsidRPr="00927915" w:rsidRDefault="00324046" w:rsidP="003240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2023.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:rsidR="00324046" w:rsidRPr="00927915" w:rsidRDefault="00324046" w:rsidP="003240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324046" w:rsidRPr="00927915" w:rsidRDefault="00324046" w:rsidP="003240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324046" w:rsidRPr="00927915" w:rsidRDefault="00324046" w:rsidP="003240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Indeks 23./22.</w:t>
            </w:r>
          </w:p>
        </w:tc>
      </w:tr>
      <w:tr w:rsidR="00F75ACE" w:rsidRPr="00927915" w:rsidTr="00B83F26">
        <w:tc>
          <w:tcPr>
            <w:tcW w:w="1838" w:type="dxa"/>
          </w:tcPr>
          <w:p w:rsidR="00324046" w:rsidRPr="00927915" w:rsidRDefault="00324046" w:rsidP="003240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A622122</w:t>
            </w:r>
          </w:p>
        </w:tc>
        <w:tc>
          <w:tcPr>
            <w:tcW w:w="1260" w:type="dxa"/>
          </w:tcPr>
          <w:p w:rsidR="00324046" w:rsidRPr="00927915" w:rsidRDefault="00324046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558.929</w:t>
            </w:r>
          </w:p>
        </w:tc>
        <w:tc>
          <w:tcPr>
            <w:tcW w:w="1261" w:type="dxa"/>
          </w:tcPr>
          <w:p w:rsidR="00324046" w:rsidRPr="00927915" w:rsidRDefault="00F75ACE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564.790</w:t>
            </w:r>
          </w:p>
        </w:tc>
        <w:tc>
          <w:tcPr>
            <w:tcW w:w="1261" w:type="dxa"/>
          </w:tcPr>
          <w:p w:rsidR="00324046" w:rsidRPr="00927915" w:rsidRDefault="002B49F1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F1">
              <w:rPr>
                <w:rFonts w:ascii="Times New Roman" w:hAnsi="Times New Roman" w:cs="Times New Roman"/>
                <w:sz w:val="24"/>
                <w:szCs w:val="24"/>
              </w:rPr>
              <w:t>530.609</w:t>
            </w:r>
          </w:p>
        </w:tc>
        <w:tc>
          <w:tcPr>
            <w:tcW w:w="1260" w:type="dxa"/>
          </w:tcPr>
          <w:p w:rsidR="00324046" w:rsidRPr="00927915" w:rsidRDefault="007258E1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530.609</w:t>
            </w:r>
          </w:p>
        </w:tc>
        <w:tc>
          <w:tcPr>
            <w:tcW w:w="1261" w:type="dxa"/>
          </w:tcPr>
          <w:p w:rsidR="00324046" w:rsidRPr="00927915" w:rsidRDefault="007258E1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530.608</w:t>
            </w:r>
          </w:p>
        </w:tc>
        <w:tc>
          <w:tcPr>
            <w:tcW w:w="1261" w:type="dxa"/>
          </w:tcPr>
          <w:p w:rsidR="00324046" w:rsidRPr="00927915" w:rsidRDefault="00F44C92" w:rsidP="0032404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93,95</w:t>
            </w:r>
          </w:p>
        </w:tc>
      </w:tr>
    </w:tbl>
    <w:p w:rsidR="00F04095" w:rsidRPr="00927915" w:rsidRDefault="00F04095" w:rsidP="00324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046" w:rsidRPr="00927915" w:rsidRDefault="00ED704E" w:rsidP="00324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Za stavke subvencija programskog financiranje (participacija školarina i potpora znanosti) u 2023. godini planirana su sredstva </w:t>
      </w:r>
      <w:r w:rsidR="007258E1">
        <w:rPr>
          <w:rFonts w:ascii="Times New Roman" w:hAnsi="Times New Roman" w:cs="Times New Roman"/>
          <w:sz w:val="24"/>
          <w:szCs w:val="24"/>
        </w:rPr>
        <w:t xml:space="preserve">prema limitima u iznosu 530.609 </w:t>
      </w:r>
      <w:r w:rsidRPr="00927915">
        <w:rPr>
          <w:rFonts w:ascii="Times New Roman" w:hAnsi="Times New Roman" w:cs="Times New Roman"/>
          <w:sz w:val="24"/>
          <w:szCs w:val="24"/>
        </w:rPr>
        <w:t xml:space="preserve">eura. Projekcije za 2024. </w:t>
      </w:r>
      <w:r w:rsidR="00F44C92">
        <w:rPr>
          <w:rFonts w:ascii="Times New Roman" w:hAnsi="Times New Roman" w:cs="Times New Roman"/>
          <w:sz w:val="24"/>
          <w:szCs w:val="24"/>
        </w:rPr>
        <w:t xml:space="preserve"> i 2025. </w:t>
      </w:r>
      <w:r w:rsidRPr="00927915">
        <w:rPr>
          <w:rFonts w:ascii="Times New Roman" w:hAnsi="Times New Roman" w:cs="Times New Roman"/>
          <w:sz w:val="24"/>
          <w:szCs w:val="24"/>
        </w:rPr>
        <w:t xml:space="preserve">g. planirane su </w:t>
      </w:r>
      <w:r w:rsidR="00F44C92">
        <w:rPr>
          <w:rFonts w:ascii="Times New Roman" w:hAnsi="Times New Roman" w:cs="Times New Roman"/>
          <w:sz w:val="24"/>
          <w:szCs w:val="24"/>
        </w:rPr>
        <w:t xml:space="preserve">u jednakom iznosu </w:t>
      </w:r>
      <w:r w:rsidRPr="00927915">
        <w:rPr>
          <w:rFonts w:ascii="Times New Roman" w:hAnsi="Times New Roman" w:cs="Times New Roman"/>
          <w:sz w:val="24"/>
          <w:szCs w:val="24"/>
        </w:rPr>
        <w:t>prema uputi Sveučilišta u Zagrebu.</w:t>
      </w:r>
    </w:p>
    <w:p w:rsidR="00F522E3" w:rsidRPr="00927915" w:rsidRDefault="00F522E3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Veterinarski fakultet Sveučilišta u Zagrebu  je proračunski korisnik koji se financira iz proračunskih sredstava</w:t>
      </w:r>
      <w:r w:rsidR="00236ADC" w:rsidRPr="00927915">
        <w:rPr>
          <w:rFonts w:ascii="Times New Roman" w:hAnsi="Times New Roman" w:cs="Times New Roman"/>
          <w:sz w:val="24"/>
          <w:szCs w:val="24"/>
        </w:rPr>
        <w:t>, a</w:t>
      </w:r>
      <w:r w:rsidRPr="00927915">
        <w:rPr>
          <w:rFonts w:ascii="Times New Roman" w:hAnsi="Times New Roman" w:cs="Times New Roman"/>
          <w:sz w:val="24"/>
          <w:szCs w:val="24"/>
        </w:rPr>
        <w:t xml:space="preserve"> u okviru Sveučilišta u Zagrebu putem nadležnog Ministarstva znanosti i </w:t>
      </w:r>
      <w:r w:rsidR="00236ADC" w:rsidRPr="00927915">
        <w:rPr>
          <w:rFonts w:ascii="Times New Roman" w:hAnsi="Times New Roman" w:cs="Times New Roman"/>
          <w:sz w:val="24"/>
          <w:szCs w:val="24"/>
        </w:rPr>
        <w:t xml:space="preserve">obrazovanja. Tijekom prošle akademske godine poslovanje Fakulteta je financirano iz  65 % proračunskih prihoda, 18 </w:t>
      </w:r>
      <w:r w:rsidRPr="00927915">
        <w:rPr>
          <w:rFonts w:ascii="Times New Roman" w:hAnsi="Times New Roman" w:cs="Times New Roman"/>
          <w:sz w:val="24"/>
          <w:szCs w:val="24"/>
        </w:rPr>
        <w:t xml:space="preserve">% </w:t>
      </w:r>
      <w:r w:rsidR="00236ADC" w:rsidRPr="00927915">
        <w:rPr>
          <w:rFonts w:ascii="Times New Roman" w:hAnsi="Times New Roman" w:cs="Times New Roman"/>
          <w:sz w:val="24"/>
          <w:szCs w:val="24"/>
        </w:rPr>
        <w:t xml:space="preserve">vlastitih prihoda ostvarenih na tržištu, 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236ADC" w:rsidRPr="00927915">
        <w:rPr>
          <w:rFonts w:ascii="Times New Roman" w:hAnsi="Times New Roman" w:cs="Times New Roman"/>
          <w:sz w:val="24"/>
          <w:szCs w:val="24"/>
        </w:rPr>
        <w:t xml:space="preserve">10 </w:t>
      </w:r>
      <w:r w:rsidR="00A14740" w:rsidRPr="00927915">
        <w:rPr>
          <w:rFonts w:ascii="Times New Roman" w:hAnsi="Times New Roman" w:cs="Times New Roman"/>
          <w:sz w:val="24"/>
          <w:szCs w:val="24"/>
        </w:rPr>
        <w:t xml:space="preserve">% namjenskih prihoda </w:t>
      </w:r>
      <w:r w:rsidRPr="00927915">
        <w:rPr>
          <w:rFonts w:ascii="Times New Roman" w:hAnsi="Times New Roman" w:cs="Times New Roman"/>
          <w:sz w:val="24"/>
          <w:szCs w:val="24"/>
        </w:rPr>
        <w:t xml:space="preserve">i gotovo </w:t>
      </w:r>
      <w:r w:rsidR="00236ADC" w:rsidRPr="00927915">
        <w:rPr>
          <w:rFonts w:ascii="Times New Roman" w:hAnsi="Times New Roman" w:cs="Times New Roman"/>
          <w:sz w:val="24"/>
          <w:szCs w:val="24"/>
        </w:rPr>
        <w:t xml:space="preserve">7 </w:t>
      </w:r>
      <w:r w:rsidRPr="00927915">
        <w:rPr>
          <w:rFonts w:ascii="Times New Roman" w:hAnsi="Times New Roman" w:cs="Times New Roman"/>
          <w:sz w:val="24"/>
          <w:szCs w:val="24"/>
        </w:rPr>
        <w:t xml:space="preserve">% prihoda tekućih pomoći EU za međunarodne projekte. </w:t>
      </w:r>
    </w:p>
    <w:p w:rsidR="00F522E3" w:rsidRPr="00927915" w:rsidRDefault="00F522E3" w:rsidP="00CA62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Iako planirana,  sredstva Fakulteta ograničena su u  proračunskom dijelu koji se donosi krajem svake godine za slijedeću godinu, jer proračunom Sveučilišta u Zagrebu čiji je sastavnica i Fakultet, niti u jednoj proračunskoj godini za cjelovit iznos ( Lump Sum) nisu osigurana potrebna sredstva za  pokriće materijalnih rashoda za nastavnu djelatnost (struja, voda , grijanj</w:t>
      </w:r>
      <w:r w:rsidR="00E81258" w:rsidRPr="00927915">
        <w:rPr>
          <w:rFonts w:ascii="Times New Roman" w:hAnsi="Times New Roman" w:cs="Times New Roman"/>
          <w:color w:val="000000"/>
          <w:sz w:val="24"/>
          <w:szCs w:val="24"/>
        </w:rPr>
        <w:t>e, čistoća, komunalne naknade) koja iznose gotovo sedam milijuna kuna.</w:t>
      </w:r>
    </w:p>
    <w:p w:rsidR="00F522E3" w:rsidRPr="00927915" w:rsidRDefault="00F522E3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lastRenderedPageBreak/>
        <w:t>Važno je napomenuti da je edukacija studenata veterinarske medicine financijski najzahtjevnija u odnosu na programe drugih disciplina, jer uključuje kliničke i laboratorijske vježbe na Fakultetu te klinički rad na terenu uz podršku pomoćnih službi. To nužno iziskuje  veća financijska sredstva čak i u odnosu na ostale studije  biomedicinske grupacije.</w:t>
      </w:r>
    </w:p>
    <w:p w:rsidR="00F522E3" w:rsidRPr="00927915" w:rsidRDefault="00F522E3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Naglašavamo da je Veterinarski fakultet u raspodjeli  subvencija participacija u ak. 20</w:t>
      </w:r>
      <w:r w:rsidR="00ED704E" w:rsidRPr="00927915">
        <w:rPr>
          <w:rFonts w:ascii="Times New Roman" w:hAnsi="Times New Roman" w:cs="Times New Roman"/>
          <w:sz w:val="24"/>
          <w:szCs w:val="24"/>
        </w:rPr>
        <w:t>21</w:t>
      </w:r>
      <w:r w:rsidRPr="00927915">
        <w:rPr>
          <w:rFonts w:ascii="Times New Roman" w:hAnsi="Times New Roman" w:cs="Times New Roman"/>
          <w:sz w:val="24"/>
          <w:szCs w:val="24"/>
        </w:rPr>
        <w:t>./20</w:t>
      </w:r>
      <w:r w:rsidR="00ED704E" w:rsidRPr="00927915">
        <w:rPr>
          <w:rFonts w:ascii="Times New Roman" w:hAnsi="Times New Roman" w:cs="Times New Roman"/>
          <w:sz w:val="24"/>
          <w:szCs w:val="24"/>
        </w:rPr>
        <w:t>22</w:t>
      </w:r>
      <w:r w:rsidRPr="00927915">
        <w:rPr>
          <w:rFonts w:ascii="Times New Roman" w:hAnsi="Times New Roman" w:cs="Times New Roman"/>
          <w:sz w:val="24"/>
          <w:szCs w:val="24"/>
        </w:rPr>
        <w:t>. godini, unutar biomedicinskog p</w:t>
      </w:r>
      <w:r w:rsidR="00ED704E" w:rsidRPr="00927915">
        <w:rPr>
          <w:rFonts w:ascii="Times New Roman" w:hAnsi="Times New Roman" w:cs="Times New Roman"/>
          <w:sz w:val="24"/>
          <w:szCs w:val="24"/>
        </w:rPr>
        <w:t>odručja zastupljen sa svega 21</w:t>
      </w:r>
      <w:r w:rsidRPr="00927915">
        <w:rPr>
          <w:rFonts w:ascii="Times New Roman" w:hAnsi="Times New Roman" w:cs="Times New Roman"/>
          <w:sz w:val="24"/>
          <w:szCs w:val="24"/>
        </w:rPr>
        <w:t xml:space="preserve"> %,</w:t>
      </w:r>
      <w:r w:rsidR="00E81258" w:rsidRPr="00927915">
        <w:rPr>
          <w:rFonts w:ascii="Times New Roman" w:hAnsi="Times New Roman" w:cs="Times New Roman"/>
          <w:sz w:val="24"/>
          <w:szCs w:val="24"/>
        </w:rPr>
        <w:t xml:space="preserve"> što nije niti približno </w:t>
      </w:r>
      <w:r w:rsidR="00E7596F" w:rsidRPr="00927915">
        <w:rPr>
          <w:rFonts w:ascii="Times New Roman" w:hAnsi="Times New Roman" w:cs="Times New Roman"/>
          <w:sz w:val="24"/>
          <w:szCs w:val="24"/>
        </w:rPr>
        <w:t>dovoljno sredstava za pokriće materijalnih troškova poslovanja,</w:t>
      </w:r>
      <w:r w:rsidRPr="00927915">
        <w:rPr>
          <w:rFonts w:ascii="Times New Roman" w:hAnsi="Times New Roman" w:cs="Times New Roman"/>
          <w:sz w:val="24"/>
          <w:szCs w:val="24"/>
        </w:rPr>
        <w:t xml:space="preserve"> imajući u vidu i da je ukupna kvadratura radnog prostora Veterinarskog fakulteta  za održavanje nastave i kliničkih vježbi</w:t>
      </w:r>
      <w:r w:rsidR="00791550">
        <w:rPr>
          <w:rFonts w:ascii="Times New Roman" w:hAnsi="Times New Roman" w:cs="Times New Roman"/>
          <w:sz w:val="24"/>
          <w:szCs w:val="24"/>
        </w:rPr>
        <w:t xml:space="preserve"> na klinikama Fakulteta 25.000m²</w:t>
      </w:r>
      <w:r w:rsidRPr="00927915">
        <w:rPr>
          <w:rFonts w:ascii="Times New Roman" w:hAnsi="Times New Roman" w:cs="Times New Roman"/>
          <w:sz w:val="24"/>
          <w:szCs w:val="24"/>
        </w:rPr>
        <w:t>.</w:t>
      </w:r>
    </w:p>
    <w:p w:rsidR="00F522E3" w:rsidRPr="00927915" w:rsidRDefault="00F522E3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Na visinu plaća zaposlenika Fakultet uopće nema utjecaja jer se  plaće isplaćuju temeljem Uredbe o plaćama državnih službenika i namještenika RH. Od ukupno dobivenih sredstava proračuna za nastavnu djelatnost, rashodi za zaposlene </w:t>
      </w:r>
      <w:r w:rsidR="00ED704E" w:rsidRPr="00927915">
        <w:rPr>
          <w:rFonts w:ascii="Times New Roman" w:hAnsi="Times New Roman" w:cs="Times New Roman"/>
          <w:sz w:val="24"/>
          <w:szCs w:val="24"/>
        </w:rPr>
        <w:t xml:space="preserve"> iznose 94,1</w:t>
      </w:r>
      <w:r w:rsidR="00E7596F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</w:rPr>
        <w:t>%</w:t>
      </w:r>
      <w:r w:rsidR="00E7596F" w:rsidRPr="00927915">
        <w:rPr>
          <w:rFonts w:ascii="Times New Roman" w:hAnsi="Times New Roman" w:cs="Times New Roman"/>
          <w:sz w:val="24"/>
          <w:szCs w:val="24"/>
        </w:rPr>
        <w:t xml:space="preserve">, </w:t>
      </w:r>
      <w:r w:rsidRPr="00927915">
        <w:rPr>
          <w:rFonts w:ascii="Times New Roman" w:hAnsi="Times New Roman" w:cs="Times New Roman"/>
          <w:sz w:val="24"/>
          <w:szCs w:val="24"/>
        </w:rPr>
        <w:t xml:space="preserve"> a za p</w:t>
      </w:r>
      <w:r w:rsidR="00ED704E" w:rsidRPr="00927915">
        <w:rPr>
          <w:rFonts w:ascii="Times New Roman" w:hAnsi="Times New Roman" w:cs="Times New Roman"/>
          <w:sz w:val="24"/>
          <w:szCs w:val="24"/>
        </w:rPr>
        <w:t>okriće materijalnih troškova 3,3</w:t>
      </w:r>
      <w:r w:rsidR="00E7596F" w:rsidRPr="00927915">
        <w:rPr>
          <w:rFonts w:ascii="Times New Roman" w:hAnsi="Times New Roman" w:cs="Times New Roman"/>
          <w:sz w:val="24"/>
          <w:szCs w:val="24"/>
        </w:rPr>
        <w:t xml:space="preserve"> % dok je za osnovne troškove nužno barem 10 %.</w:t>
      </w:r>
      <w:r w:rsidR="001D0A31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</w:rPr>
        <w:t xml:space="preserve">U znanstveno istraživačkom dijelu osigurana su sredstva </w:t>
      </w:r>
      <w:r w:rsidR="00ED704E" w:rsidRPr="00927915">
        <w:rPr>
          <w:rFonts w:ascii="Times New Roman" w:hAnsi="Times New Roman" w:cs="Times New Roman"/>
          <w:sz w:val="24"/>
          <w:szCs w:val="24"/>
        </w:rPr>
        <w:t>u 2,6</w:t>
      </w:r>
      <w:r w:rsidR="001D0A31" w:rsidRPr="00927915">
        <w:rPr>
          <w:rFonts w:ascii="Times New Roman" w:hAnsi="Times New Roman" w:cs="Times New Roman"/>
          <w:sz w:val="24"/>
          <w:szCs w:val="24"/>
        </w:rPr>
        <w:t xml:space="preserve">% </w:t>
      </w:r>
      <w:r w:rsidRPr="00927915">
        <w:rPr>
          <w:rFonts w:ascii="Times New Roman" w:hAnsi="Times New Roman" w:cs="Times New Roman"/>
          <w:sz w:val="24"/>
          <w:szCs w:val="24"/>
        </w:rPr>
        <w:t xml:space="preserve">za  </w:t>
      </w:r>
      <w:r w:rsidR="001D0A31" w:rsidRPr="00927915">
        <w:rPr>
          <w:rFonts w:ascii="Times New Roman" w:hAnsi="Times New Roman" w:cs="Times New Roman"/>
          <w:sz w:val="24"/>
          <w:szCs w:val="24"/>
        </w:rPr>
        <w:t xml:space="preserve">kratkoročne </w:t>
      </w:r>
      <w:r w:rsidRPr="00927915">
        <w:rPr>
          <w:rFonts w:ascii="Times New Roman" w:hAnsi="Times New Roman" w:cs="Times New Roman"/>
          <w:sz w:val="24"/>
          <w:szCs w:val="24"/>
        </w:rPr>
        <w:t xml:space="preserve">potpore </w:t>
      </w:r>
      <w:r w:rsidR="001D0A31" w:rsidRPr="00927915">
        <w:rPr>
          <w:rFonts w:ascii="Times New Roman" w:hAnsi="Times New Roman" w:cs="Times New Roman"/>
          <w:sz w:val="24"/>
          <w:szCs w:val="24"/>
        </w:rPr>
        <w:t>istraživanjima</w:t>
      </w:r>
      <w:r w:rsidRPr="00927915">
        <w:rPr>
          <w:rFonts w:ascii="Times New Roman" w:hAnsi="Times New Roman" w:cs="Times New Roman"/>
          <w:sz w:val="24"/>
          <w:szCs w:val="24"/>
        </w:rPr>
        <w:t xml:space="preserve"> koji se financiraju iz Ministarstva znanosti i obrazovanja putem Sveučilišta u Zagrebu </w:t>
      </w:r>
      <w:r w:rsidR="001D0A31" w:rsidRPr="00927915">
        <w:rPr>
          <w:rFonts w:ascii="Times New Roman" w:hAnsi="Times New Roman" w:cs="Times New Roman"/>
          <w:sz w:val="24"/>
          <w:szCs w:val="24"/>
        </w:rPr>
        <w:t>sigurno nisu dostatna.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2E3" w:rsidRPr="00927915" w:rsidRDefault="00F522E3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27915">
        <w:rPr>
          <w:rFonts w:ascii="Times New Roman" w:hAnsi="Times New Roman" w:cs="Times New Roman"/>
          <w:sz w:val="24"/>
          <w:szCs w:val="24"/>
          <w:lang w:val="pl-PL"/>
        </w:rPr>
        <w:t>Financijski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plan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Veterinarskog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fakulteta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Sveu</w:t>
      </w:r>
      <w:r w:rsidRPr="00927915">
        <w:rPr>
          <w:rFonts w:ascii="Times New Roman" w:hAnsi="Times New Roman" w:cs="Times New Roman"/>
          <w:sz w:val="24"/>
          <w:szCs w:val="24"/>
        </w:rPr>
        <w:t>č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ili</w:t>
      </w:r>
      <w:r w:rsidRPr="00927915">
        <w:rPr>
          <w:rFonts w:ascii="Times New Roman" w:hAnsi="Times New Roman" w:cs="Times New Roman"/>
          <w:sz w:val="24"/>
          <w:szCs w:val="24"/>
        </w:rPr>
        <w:t>š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ta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Zagrebu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narednom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razdoblju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prilago</w:t>
      </w:r>
      <w:r w:rsidRPr="00927915">
        <w:rPr>
          <w:rFonts w:ascii="Times New Roman" w:hAnsi="Times New Roman" w:cs="Times New Roman"/>
          <w:sz w:val="24"/>
          <w:szCs w:val="24"/>
        </w:rPr>
        <w:t>đ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en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glavnom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strate</w:t>
      </w:r>
      <w:r w:rsidRPr="00927915">
        <w:rPr>
          <w:rFonts w:ascii="Times New Roman" w:hAnsi="Times New Roman" w:cs="Times New Roman"/>
          <w:sz w:val="24"/>
          <w:szCs w:val="24"/>
        </w:rPr>
        <w:t>š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kom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cilju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fakulteta</w:t>
      </w:r>
      <w:r w:rsidRPr="00927915">
        <w:rPr>
          <w:rFonts w:ascii="Times New Roman" w:hAnsi="Times New Roman" w:cs="Times New Roman"/>
          <w:sz w:val="24"/>
          <w:szCs w:val="24"/>
        </w:rPr>
        <w:t xml:space="preserve">,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nastavak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pobolj</w:t>
      </w:r>
      <w:r w:rsidRPr="00927915">
        <w:rPr>
          <w:rFonts w:ascii="Times New Roman" w:hAnsi="Times New Roman" w:cs="Times New Roman"/>
          <w:sz w:val="24"/>
          <w:szCs w:val="24"/>
        </w:rPr>
        <w:t>š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anja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uvjeta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studiranja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studenata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Fakultetu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akreditiranim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laboratorijima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27915">
        <w:rPr>
          <w:rFonts w:ascii="Times New Roman" w:hAnsi="Times New Roman" w:cs="Times New Roman"/>
          <w:sz w:val="24"/>
          <w:szCs w:val="24"/>
        </w:rPr>
        <w:t xml:space="preserve"> nabavkom suvremene opreme za edukaciju studenata na K</w:t>
      </w:r>
      <w:r w:rsidRPr="00927915">
        <w:rPr>
          <w:rFonts w:ascii="Times New Roman" w:hAnsi="Times New Roman" w:cs="Times New Roman"/>
          <w:sz w:val="24"/>
          <w:szCs w:val="24"/>
          <w:lang w:val="pl-PL"/>
        </w:rPr>
        <w:t>linikama.</w:t>
      </w:r>
    </w:p>
    <w:p w:rsidR="00ED704E" w:rsidRPr="00927915" w:rsidRDefault="00ED704E" w:rsidP="00ED704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A621181 Pravomoćne sudske presude</w:t>
      </w:r>
    </w:p>
    <w:p w:rsidR="00F522E3" w:rsidRPr="00927915" w:rsidRDefault="002C2F62" w:rsidP="00CA622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Za isplatu prema pravomoćnim sudskim presudama za tužbe zbog nepovećanja 6% osnovice za izračun plaća u 2023. go</w:t>
      </w:r>
      <w:r w:rsidR="00252AB1">
        <w:rPr>
          <w:rFonts w:ascii="Times New Roman" w:hAnsi="Times New Roman" w:cs="Times New Roman"/>
          <w:sz w:val="24"/>
          <w:szCs w:val="24"/>
        </w:rPr>
        <w:t>dini planiran je iznos od 55.788</w:t>
      </w:r>
      <w:r w:rsidRPr="00927915">
        <w:rPr>
          <w:rFonts w:ascii="Times New Roman" w:hAnsi="Times New Roman" w:cs="Times New Roman"/>
          <w:sz w:val="24"/>
          <w:szCs w:val="24"/>
        </w:rPr>
        <w:t xml:space="preserve"> eura za troškove isplata razlika plaća i doprinosa, sudskih pristojbi i zateznih kamata.</w:t>
      </w:r>
    </w:p>
    <w:p w:rsidR="00846CD9" w:rsidRPr="00927915" w:rsidRDefault="00846CD9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CD9" w:rsidRPr="00927915" w:rsidRDefault="00846CD9" w:rsidP="00CA622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A679088 Redovna djelatnost Sveučilišta u Zagrebu (iz evidencijskih prihoda)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Zakonske i druge pravne osnove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Zakon o znanstvenoj dje</w:t>
      </w:r>
      <w:r w:rsidR="000B3347" w:rsidRPr="00927915">
        <w:rPr>
          <w:rFonts w:ascii="Times New Roman" w:hAnsi="Times New Roman" w:cs="Times New Roman"/>
          <w:sz w:val="24"/>
          <w:szCs w:val="24"/>
        </w:rPr>
        <w:t xml:space="preserve">latnosti i visokom obrazovanju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Zakon o Proračunu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Zakon o veterinarstvu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Pravilnik o integriranom preddiplomskom i diplomskom studiju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Izmjene pravilnika o integriranom preddiplomskom i diplomskom studiju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Pravilnik o ustroju radnih mjesta</w:t>
      </w:r>
      <w:r w:rsidRPr="00927915">
        <w:rPr>
          <w:rFonts w:ascii="Times New Roman" w:hAnsi="Times New Roman" w:cs="Times New Roman"/>
          <w:sz w:val="24"/>
          <w:szCs w:val="24"/>
        </w:rPr>
        <w:tab/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radu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zaštiti na radu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Strategija razvoja Veterinarskog fakulteta</w:t>
      </w:r>
      <w:r w:rsidR="004B1F92" w:rsidRPr="00927915">
        <w:rPr>
          <w:rFonts w:ascii="Times New Roman" w:hAnsi="Times New Roman" w:cs="Times New Roman"/>
          <w:sz w:val="24"/>
          <w:szCs w:val="24"/>
        </w:rPr>
        <w:t xml:space="preserve"> za razdoblje 2023. – 2027.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Statut Veterinarskoga </w:t>
      </w:r>
      <w:r w:rsidR="004B1F92" w:rsidRPr="00927915">
        <w:rPr>
          <w:rFonts w:ascii="Times New Roman" w:hAnsi="Times New Roman" w:cs="Times New Roman"/>
          <w:sz w:val="24"/>
          <w:szCs w:val="24"/>
        </w:rPr>
        <w:t>fakulteta Sveučilišta u Zagrebu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uvjetima i postupku izbora u zvanja i na odgovarajuća radna mjesta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Naputak o postupku izbora u zvanja i odgovarajuća radna mjesta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ustroju i radu znanstveno-nastavnog poligona Fakultetsko dobro Dugo Selo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ustroju i radu lovno-nastavnog poligona Veterinarskog fakulteta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unutarnjem ustroju veterinarskoga fakulteta 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Pravilnik o sustavu osiguranja kvalitete na Veterinarskom fakultetu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Pravilnik o doktorskom studiju na Veterinarskom fakultetu u Zagrebu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Pravilnik o poslijediplomskim specijalističkim studijima Veterinarskog fakulteta Sveučilišta u Zagrebu</w:t>
      </w:r>
    </w:p>
    <w:p w:rsidR="00CA622B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 xml:space="preserve">Pravilnik o ambulantnoj klinici Veterinarskog fakulteta Sveučilišta u Zagrebu </w:t>
      </w:r>
    </w:p>
    <w:p w:rsidR="003B2CF0" w:rsidRPr="00927915" w:rsidRDefault="00CA622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•</w:t>
      </w:r>
      <w:r w:rsidRPr="00927915">
        <w:rPr>
          <w:rFonts w:ascii="Times New Roman" w:hAnsi="Times New Roman" w:cs="Times New Roman"/>
          <w:sz w:val="24"/>
          <w:szCs w:val="24"/>
        </w:rPr>
        <w:tab/>
        <w:t>Pravilnik o sveučilišnoj nastavnoj literaturi i izdavačkoj djelatnosti</w:t>
      </w:r>
    </w:p>
    <w:p w:rsidR="00927915" w:rsidRPr="00927915" w:rsidRDefault="00927915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77B" w:rsidRPr="00927915" w:rsidRDefault="00927915" w:rsidP="00CA622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1.1</w:t>
      </w:r>
      <w:r w:rsidR="003F577B" w:rsidRPr="00927915">
        <w:rPr>
          <w:rFonts w:ascii="Times New Roman" w:hAnsi="Times New Roman" w:cs="Times New Roman"/>
          <w:sz w:val="24"/>
          <w:szCs w:val="24"/>
        </w:rPr>
        <w:t>. Obrazloženje programa- Vlastiti prihodi:– prihodi od prodaje proizvoda i robe te pruženih usluga</w:t>
      </w:r>
      <w:r w:rsidRPr="00927915">
        <w:rPr>
          <w:rFonts w:ascii="Times New Roman" w:hAnsi="Times New Roman" w:cs="Times New Roman"/>
          <w:sz w:val="24"/>
          <w:szCs w:val="24"/>
        </w:rPr>
        <w:t xml:space="preserve"> – izvor 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234"/>
        <w:gridCol w:w="1220"/>
        <w:gridCol w:w="1220"/>
        <w:gridCol w:w="1204"/>
        <w:gridCol w:w="1220"/>
        <w:gridCol w:w="1197"/>
      </w:tblGrid>
      <w:tr w:rsidR="00A7360C" w:rsidRPr="00927915" w:rsidTr="00403AC4">
        <w:tc>
          <w:tcPr>
            <w:tcW w:w="1767" w:type="dxa"/>
            <w:shd w:val="clear" w:color="auto" w:fill="D0CECE" w:themeFill="background2" w:themeFillShade="E6"/>
          </w:tcPr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D0CECE" w:themeFill="background2" w:themeFillShade="E6"/>
            <w:vAlign w:val="center"/>
          </w:tcPr>
          <w:p w:rsidR="003F577B" w:rsidRPr="00927915" w:rsidRDefault="000F275B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Izvršenje 2021</w:t>
            </w:r>
            <w:r w:rsidR="003F577B"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3F577B" w:rsidRPr="00927915" w:rsidRDefault="003F577B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0F275B" w:rsidRPr="00927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3F577B" w:rsidRPr="00927915" w:rsidRDefault="003F577B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F275B" w:rsidRPr="0092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  <w:shd w:val="clear" w:color="auto" w:fill="D0CECE" w:themeFill="background2" w:themeFillShade="E6"/>
            <w:vAlign w:val="center"/>
          </w:tcPr>
          <w:p w:rsidR="003F577B" w:rsidRPr="00927915" w:rsidRDefault="003F577B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F275B" w:rsidRPr="00927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3F577B" w:rsidRPr="00927915" w:rsidRDefault="003F577B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F275B" w:rsidRPr="00927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  <w:shd w:val="clear" w:color="auto" w:fill="D0CECE" w:themeFill="background2" w:themeFillShade="E6"/>
            <w:vAlign w:val="center"/>
          </w:tcPr>
          <w:p w:rsidR="003F577B" w:rsidRPr="00927915" w:rsidRDefault="003F577B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0F275B" w:rsidRPr="0092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0F275B" w:rsidRPr="00927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75B" w:rsidRPr="00927915" w:rsidTr="00403AC4">
        <w:tc>
          <w:tcPr>
            <w:tcW w:w="1767" w:type="dxa"/>
          </w:tcPr>
          <w:p w:rsidR="003F577B" w:rsidRPr="00927915" w:rsidRDefault="003F577B" w:rsidP="00A73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A679088- izvor 31</w:t>
            </w:r>
          </w:p>
        </w:tc>
        <w:tc>
          <w:tcPr>
            <w:tcW w:w="1234" w:type="dxa"/>
          </w:tcPr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7B" w:rsidRPr="00927915" w:rsidRDefault="000F275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2.557.977</w:t>
            </w:r>
          </w:p>
        </w:tc>
        <w:tc>
          <w:tcPr>
            <w:tcW w:w="1220" w:type="dxa"/>
          </w:tcPr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7B" w:rsidRPr="00927915" w:rsidRDefault="000F275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1.771.013</w:t>
            </w:r>
          </w:p>
        </w:tc>
        <w:tc>
          <w:tcPr>
            <w:tcW w:w="1220" w:type="dxa"/>
          </w:tcPr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7B" w:rsidRPr="00927915" w:rsidRDefault="000F275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2.676.911</w:t>
            </w:r>
          </w:p>
        </w:tc>
        <w:tc>
          <w:tcPr>
            <w:tcW w:w="1204" w:type="dxa"/>
          </w:tcPr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7B" w:rsidRPr="00927915" w:rsidRDefault="000F275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2.753.454</w:t>
            </w:r>
          </w:p>
        </w:tc>
        <w:tc>
          <w:tcPr>
            <w:tcW w:w="1220" w:type="dxa"/>
          </w:tcPr>
          <w:p w:rsidR="003F577B" w:rsidRPr="00927915" w:rsidRDefault="003F577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5B" w:rsidRPr="00927915" w:rsidRDefault="000F275B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2.753.454</w:t>
            </w:r>
          </w:p>
        </w:tc>
        <w:tc>
          <w:tcPr>
            <w:tcW w:w="1197" w:type="dxa"/>
          </w:tcPr>
          <w:p w:rsidR="003F577B" w:rsidRPr="00927915" w:rsidRDefault="003F577B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7B" w:rsidRPr="00927915" w:rsidRDefault="000F275B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151,15</w:t>
            </w:r>
          </w:p>
        </w:tc>
      </w:tr>
    </w:tbl>
    <w:p w:rsidR="003F577B" w:rsidRPr="00927915" w:rsidRDefault="003F577B" w:rsidP="00CA622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577B" w:rsidRPr="00927915" w:rsidRDefault="003F577B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27915">
        <w:rPr>
          <w:rFonts w:ascii="Times New Roman" w:hAnsi="Times New Roman" w:cs="Times New Roman"/>
          <w:sz w:val="24"/>
          <w:szCs w:val="24"/>
          <w:lang w:val="pl-PL"/>
        </w:rPr>
        <w:t xml:space="preserve">Istom strateškom cilju namjenjeni su i tzv. vlastiti prihodi fakulteta ostvareni na tržištu te su usmjereni kao dopunski izvor financiranja proračunskim sredstvima.  To je u suglasju s polaznim osnovama sustava financiranja unutar Sveučilišta te na tragu pronalaženja optimalne kombinacije udjela države i tržišta u ostvarivanju razvojnih ciljeva u visokom obrazovanju. </w:t>
      </w:r>
    </w:p>
    <w:p w:rsidR="003F577B" w:rsidRPr="00927915" w:rsidRDefault="003F577B" w:rsidP="00CA62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Kako su sredstva iz proračuna dostatna isključivo za rashode za zaposlene i jedan dio materijalnih rashoda, Fakultet</w:t>
      </w:r>
      <w:r w:rsidR="00A13D75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pored pokrića režijskih troškova,</w:t>
      </w:r>
      <w:r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gotovo 35% tržišnih prihoda </w:t>
      </w:r>
      <w:r w:rsidRPr="00927915">
        <w:rPr>
          <w:rFonts w:ascii="Times New Roman" w:hAnsi="Times New Roman" w:cs="Times New Roman"/>
          <w:color w:val="000000"/>
          <w:sz w:val="24"/>
          <w:szCs w:val="24"/>
        </w:rPr>
        <w:lastRenderedPageBreak/>
        <w:t>izdvaja i troši u svrhu obnavljanja i osuvremenjivanja  prostora i opreme za nastavnu, istr</w:t>
      </w:r>
      <w:r w:rsidR="00A13D75" w:rsidRPr="00927915">
        <w:rPr>
          <w:rFonts w:ascii="Times New Roman" w:hAnsi="Times New Roman" w:cs="Times New Roman"/>
          <w:color w:val="000000"/>
          <w:sz w:val="24"/>
          <w:szCs w:val="24"/>
        </w:rPr>
        <w:t>aživačku i stručnu djelatnost.</w:t>
      </w:r>
    </w:p>
    <w:p w:rsidR="003F577B" w:rsidRPr="00927915" w:rsidRDefault="003F577B" w:rsidP="00CA62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Fakultet tržišne prihode suradnje s građanstvom i privredom slobodno ostvaruje bez utjecaja vanjskih čimbenika, dok u dijelu prihoda školarina za poslijediplomsku nastavu utjecaj ima broj prijavljenih polaznika po raspisanom natječaju.</w:t>
      </w:r>
    </w:p>
    <w:p w:rsidR="003F577B" w:rsidRPr="00927915" w:rsidRDefault="003F577B" w:rsidP="00CA62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Iako prihodi vl</w:t>
      </w:r>
      <w:r w:rsidR="00505735" w:rsidRPr="00927915">
        <w:rPr>
          <w:rFonts w:ascii="Times New Roman" w:hAnsi="Times New Roman" w:cs="Times New Roman"/>
          <w:color w:val="000000"/>
          <w:sz w:val="24"/>
          <w:szCs w:val="24"/>
        </w:rPr>
        <w:t>astite djelatnosti čine svega 18</w:t>
      </w:r>
      <w:r w:rsidRPr="00927915">
        <w:rPr>
          <w:rFonts w:ascii="Times New Roman" w:hAnsi="Times New Roman" w:cs="Times New Roman"/>
          <w:color w:val="000000"/>
          <w:sz w:val="24"/>
          <w:szCs w:val="24"/>
        </w:rPr>
        <w:t>% ukupnih prihoda jedan su od najvažnijih prihoda u osuvremenjivanju nastavnog prostora i opreme, kao i stručnom usavršavanju nastavnog i pratećeg  osoblja.</w:t>
      </w:r>
    </w:p>
    <w:p w:rsidR="00721F13" w:rsidRPr="00927915" w:rsidRDefault="00721F13" w:rsidP="00CA62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Na smanjenje planiranih prihoda i  troškova za </w:t>
      </w:r>
      <w:r w:rsidR="00505735" w:rsidRPr="00927915">
        <w:rPr>
          <w:rFonts w:ascii="Times New Roman" w:hAnsi="Times New Roman" w:cs="Times New Roman"/>
          <w:color w:val="000000"/>
          <w:sz w:val="24"/>
          <w:szCs w:val="24"/>
        </w:rPr>
        <w:t>u 2022. godini u odnosu na prethodnu godinu odnosi se na promjenu iskazivanja prihoda za provedbu programa za zdravlje životinja i naređene mjere za zdravlje životinja prema ugovoru s Ministarstvom poljoprivrede, sa vlastitih prigoda i izvora 31 na izvor 52, u okviru konta 639-prijenosi između proračunskih korisnika istog proračuna.</w:t>
      </w:r>
    </w:p>
    <w:p w:rsidR="00721F13" w:rsidRPr="007D0622" w:rsidRDefault="00721F13" w:rsidP="00CA622B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0622">
        <w:rPr>
          <w:rFonts w:ascii="Times New Roman" w:hAnsi="Times New Roman" w:cs="Times New Roman"/>
          <w:i/>
          <w:sz w:val="24"/>
          <w:szCs w:val="24"/>
        </w:rPr>
        <w:t>Ishodište i pokazatelji na kojima se zasnivaju izračuni – Vlastiti prihodi</w:t>
      </w:r>
    </w:p>
    <w:p w:rsidR="00721F13" w:rsidRPr="007D0622" w:rsidRDefault="00721F13" w:rsidP="00CA62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0622">
        <w:rPr>
          <w:rFonts w:ascii="Times New Roman" w:hAnsi="Times New Roman" w:cs="Times New Roman"/>
          <w:i/>
          <w:color w:val="000000"/>
          <w:sz w:val="24"/>
          <w:szCs w:val="24"/>
        </w:rPr>
        <w:t>Vlastiti prihodi za 20</w:t>
      </w:r>
      <w:r w:rsidR="000F275B" w:rsidRPr="007D0622">
        <w:rPr>
          <w:rFonts w:ascii="Times New Roman" w:hAnsi="Times New Roman" w:cs="Times New Roman"/>
          <w:i/>
          <w:color w:val="000000"/>
          <w:sz w:val="24"/>
          <w:szCs w:val="24"/>
        </w:rPr>
        <w:t>23</w:t>
      </w:r>
      <w:r w:rsidR="003C2B28" w:rsidRPr="007D06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F275B" w:rsidRPr="007D0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godinu  u iznosu od 2.676.911 eura</w:t>
      </w:r>
      <w:r w:rsidRPr="007D0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planirani su za pokriće troškova koji nastanu obavljanjem poslova liječenja životinja na klinikama prema procjeni broja pacijenata prethodne godine kao i ugovornim obavezama sa privredom</w:t>
      </w:r>
      <w:r w:rsidR="000F275B" w:rsidRPr="007D06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D0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sukladno potpisanim ugovorima na bazi vrsta i količina roba i usluga.</w:t>
      </w:r>
    </w:p>
    <w:p w:rsidR="003F577B" w:rsidRPr="00927915" w:rsidRDefault="003F577B" w:rsidP="00CA6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AF" w:rsidRPr="00927915" w:rsidRDefault="00927915" w:rsidP="00CA622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4002183"/>
      <w:r w:rsidRPr="00927915">
        <w:rPr>
          <w:rFonts w:ascii="Times New Roman" w:hAnsi="Times New Roman" w:cs="Times New Roman"/>
          <w:sz w:val="24"/>
          <w:szCs w:val="24"/>
        </w:rPr>
        <w:t>1.2</w:t>
      </w:r>
      <w:r w:rsidR="009024AF" w:rsidRPr="00927915">
        <w:rPr>
          <w:rFonts w:ascii="Times New Roman" w:hAnsi="Times New Roman" w:cs="Times New Roman"/>
          <w:sz w:val="24"/>
          <w:szCs w:val="24"/>
        </w:rPr>
        <w:t>. Obrazloženje programa- Prihodi za posebne namjene:</w:t>
      </w:r>
      <w:bookmarkEnd w:id="1"/>
      <w:r w:rsidR="00A02624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9024AF" w:rsidRPr="00927915">
        <w:rPr>
          <w:rFonts w:ascii="Times New Roman" w:hAnsi="Times New Roman" w:cs="Times New Roman"/>
          <w:sz w:val="24"/>
          <w:szCs w:val="24"/>
        </w:rPr>
        <w:t xml:space="preserve">prihodi od sufinanciranja </w:t>
      </w:r>
      <w:r w:rsidR="00A02624" w:rsidRPr="00927915">
        <w:rPr>
          <w:rFonts w:ascii="Times New Roman" w:hAnsi="Times New Roman" w:cs="Times New Roman"/>
          <w:sz w:val="24"/>
          <w:szCs w:val="24"/>
        </w:rPr>
        <w:t xml:space="preserve">cijene participacije školarina </w:t>
      </w:r>
      <w:r w:rsidRPr="00927915">
        <w:rPr>
          <w:rFonts w:ascii="Times New Roman" w:hAnsi="Times New Roman" w:cs="Times New Roman"/>
          <w:sz w:val="24"/>
          <w:szCs w:val="24"/>
        </w:rPr>
        <w:t xml:space="preserve"> - izvor 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234"/>
        <w:gridCol w:w="1220"/>
        <w:gridCol w:w="1220"/>
        <w:gridCol w:w="1204"/>
        <w:gridCol w:w="1220"/>
        <w:gridCol w:w="1197"/>
      </w:tblGrid>
      <w:tr w:rsidR="00A37531" w:rsidRPr="00927915" w:rsidTr="00403AC4">
        <w:tc>
          <w:tcPr>
            <w:tcW w:w="1767" w:type="dxa"/>
            <w:shd w:val="clear" w:color="auto" w:fill="D0CECE" w:themeFill="background2" w:themeFillShade="E6"/>
          </w:tcPr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D0CECE" w:themeFill="background2" w:themeFillShade="E6"/>
            <w:vAlign w:val="center"/>
          </w:tcPr>
          <w:p w:rsidR="009024AF" w:rsidRPr="00927915" w:rsidRDefault="00692231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Izvršenje 2021</w:t>
            </w:r>
            <w:r w:rsidR="009024AF"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9024AF" w:rsidRPr="00927915" w:rsidRDefault="009024AF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692231" w:rsidRPr="00927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9024AF" w:rsidRPr="00927915" w:rsidRDefault="009024AF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92231" w:rsidRPr="0092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  <w:shd w:val="clear" w:color="auto" w:fill="D0CECE" w:themeFill="background2" w:themeFillShade="E6"/>
            <w:vAlign w:val="center"/>
          </w:tcPr>
          <w:p w:rsidR="009024AF" w:rsidRPr="00927915" w:rsidRDefault="009024AF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92231" w:rsidRPr="00927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9024AF" w:rsidRPr="00927915" w:rsidRDefault="009024AF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92231" w:rsidRPr="00927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  <w:shd w:val="clear" w:color="auto" w:fill="D0CECE" w:themeFill="background2" w:themeFillShade="E6"/>
            <w:vAlign w:val="center"/>
          </w:tcPr>
          <w:p w:rsidR="009024AF" w:rsidRPr="00927915" w:rsidRDefault="009024AF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692231" w:rsidRPr="0092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692231" w:rsidRPr="00927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531" w:rsidRPr="00927915" w:rsidTr="00403AC4">
        <w:tc>
          <w:tcPr>
            <w:tcW w:w="1767" w:type="dxa"/>
          </w:tcPr>
          <w:p w:rsidR="009024AF" w:rsidRPr="00927915" w:rsidRDefault="009024AF" w:rsidP="00A73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 xml:space="preserve">A679088- </w:t>
            </w:r>
            <w:r w:rsidR="00A7360C" w:rsidRPr="00927915">
              <w:rPr>
                <w:rFonts w:ascii="Times New Roman" w:hAnsi="Times New Roman" w:cs="Times New Roman"/>
                <w:sz w:val="24"/>
                <w:szCs w:val="24"/>
              </w:rPr>
              <w:t>izvor 43</w:t>
            </w:r>
          </w:p>
        </w:tc>
        <w:tc>
          <w:tcPr>
            <w:tcW w:w="1234" w:type="dxa"/>
          </w:tcPr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5F" w:rsidRPr="00927915" w:rsidRDefault="00A37531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1.428.433</w:t>
            </w:r>
          </w:p>
        </w:tc>
        <w:tc>
          <w:tcPr>
            <w:tcW w:w="1220" w:type="dxa"/>
          </w:tcPr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797" w:rsidRPr="00927915" w:rsidRDefault="00A37531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1.347.628</w:t>
            </w:r>
          </w:p>
        </w:tc>
        <w:tc>
          <w:tcPr>
            <w:tcW w:w="1220" w:type="dxa"/>
          </w:tcPr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797" w:rsidRPr="00927915" w:rsidRDefault="00A37531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1.894.712</w:t>
            </w:r>
          </w:p>
        </w:tc>
        <w:tc>
          <w:tcPr>
            <w:tcW w:w="1204" w:type="dxa"/>
          </w:tcPr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797" w:rsidRPr="00927915" w:rsidRDefault="00A37531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1.894.712</w:t>
            </w:r>
          </w:p>
        </w:tc>
        <w:tc>
          <w:tcPr>
            <w:tcW w:w="1220" w:type="dxa"/>
          </w:tcPr>
          <w:p w:rsidR="009024AF" w:rsidRPr="00927915" w:rsidRDefault="009024AF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797" w:rsidRPr="00927915" w:rsidRDefault="00A37531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1.894.712</w:t>
            </w:r>
          </w:p>
        </w:tc>
        <w:tc>
          <w:tcPr>
            <w:tcW w:w="1197" w:type="dxa"/>
          </w:tcPr>
          <w:p w:rsidR="009024AF" w:rsidRPr="00927915" w:rsidRDefault="009024AF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57F" w:rsidRPr="00927915" w:rsidRDefault="002E0CF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140,60</w:t>
            </w:r>
          </w:p>
        </w:tc>
      </w:tr>
    </w:tbl>
    <w:p w:rsidR="009024AF" w:rsidRPr="00927915" w:rsidRDefault="009024AF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AF" w:rsidRPr="00927915" w:rsidRDefault="009024AF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Navedeni prihodi i troškovi u dijelu sufinanciranja cijene participacije školarina uvećani su za</w:t>
      </w:r>
      <w:r w:rsidR="00993503" w:rsidRPr="00927915">
        <w:rPr>
          <w:rFonts w:ascii="Times New Roman" w:hAnsi="Times New Roman" w:cs="Times New Roman"/>
          <w:sz w:val="24"/>
          <w:szCs w:val="24"/>
        </w:rPr>
        <w:t xml:space="preserve"> prihode</w:t>
      </w:r>
      <w:r w:rsidRPr="00927915">
        <w:rPr>
          <w:rFonts w:ascii="Times New Roman" w:hAnsi="Times New Roman" w:cs="Times New Roman"/>
          <w:sz w:val="24"/>
          <w:szCs w:val="24"/>
        </w:rPr>
        <w:t xml:space="preserve"> studija </w:t>
      </w:r>
      <w:r w:rsidR="00993503" w:rsidRPr="00927915">
        <w:rPr>
          <w:rFonts w:ascii="Times New Roman" w:hAnsi="Times New Roman" w:cs="Times New Roman"/>
          <w:sz w:val="24"/>
          <w:szCs w:val="24"/>
        </w:rPr>
        <w:t>veterinarske medicine na engleskom jeziku</w:t>
      </w:r>
      <w:r w:rsidR="00C574D6" w:rsidRPr="00927915">
        <w:rPr>
          <w:rFonts w:ascii="Times New Roman" w:hAnsi="Times New Roman" w:cs="Times New Roman"/>
          <w:sz w:val="24"/>
          <w:szCs w:val="24"/>
        </w:rPr>
        <w:t>,</w:t>
      </w:r>
      <w:r w:rsidR="00993503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A02624" w:rsidRPr="00927915">
        <w:rPr>
          <w:rFonts w:ascii="Times New Roman" w:hAnsi="Times New Roman" w:cs="Times New Roman"/>
          <w:sz w:val="24"/>
          <w:szCs w:val="24"/>
        </w:rPr>
        <w:t>a već prema planu upisane i šeste</w:t>
      </w:r>
      <w:r w:rsidR="00993503" w:rsidRPr="00927915">
        <w:rPr>
          <w:rFonts w:ascii="Times New Roman" w:hAnsi="Times New Roman" w:cs="Times New Roman"/>
          <w:sz w:val="24"/>
          <w:szCs w:val="24"/>
        </w:rPr>
        <w:t xml:space="preserve"> godine</w:t>
      </w:r>
      <w:r w:rsidR="00F86A9C" w:rsidRPr="00927915">
        <w:rPr>
          <w:rFonts w:ascii="Times New Roman" w:hAnsi="Times New Roman" w:cs="Times New Roman"/>
          <w:sz w:val="24"/>
          <w:szCs w:val="24"/>
        </w:rPr>
        <w:t>.</w:t>
      </w:r>
    </w:p>
    <w:p w:rsidR="00993503" w:rsidRPr="007D0622" w:rsidRDefault="00993503" w:rsidP="00CA622B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0622">
        <w:rPr>
          <w:rFonts w:ascii="Times New Roman" w:hAnsi="Times New Roman" w:cs="Times New Roman"/>
          <w:i/>
          <w:sz w:val="24"/>
          <w:szCs w:val="24"/>
        </w:rPr>
        <w:lastRenderedPageBreak/>
        <w:t>Ishodište i pokazatelji na kojima se zasnivaju izračuni – Prihodi za posebne namjene</w:t>
      </w:r>
    </w:p>
    <w:p w:rsidR="00993503" w:rsidRPr="007D0622" w:rsidRDefault="00993503" w:rsidP="00CA62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0622">
        <w:rPr>
          <w:rFonts w:ascii="Times New Roman" w:hAnsi="Times New Roman" w:cs="Times New Roman"/>
          <w:i/>
          <w:color w:val="000000"/>
          <w:sz w:val="24"/>
          <w:szCs w:val="24"/>
        </w:rPr>
        <w:t>Prihodi od</w:t>
      </w:r>
      <w:r w:rsidRPr="007D0622">
        <w:rPr>
          <w:rFonts w:ascii="Times New Roman" w:hAnsi="Times New Roman" w:cs="Times New Roman"/>
          <w:i/>
          <w:sz w:val="24"/>
          <w:szCs w:val="24"/>
        </w:rPr>
        <w:t xml:space="preserve"> sufinanciranja cijene participacije školarina</w:t>
      </w:r>
      <w:r w:rsidR="00993533" w:rsidRPr="007D0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za 2023. godinu iznosu od 1.894.712 eura</w:t>
      </w:r>
      <w:r w:rsidRPr="007D0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planirani temeljem procjene broja upisa studenta u I do V</w:t>
      </w:r>
      <w:r w:rsidR="00A02624" w:rsidRPr="007D0622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D06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godinu studija na engleskom jeziku kao i učešća redovitih studenata u participacijama na bazi prosjeka prethodne godine. </w:t>
      </w:r>
      <w:r w:rsidR="00993533" w:rsidRPr="007D0622">
        <w:rPr>
          <w:rFonts w:ascii="Times New Roman" w:hAnsi="Times New Roman" w:cs="Times New Roman"/>
          <w:i/>
          <w:color w:val="000000"/>
          <w:sz w:val="24"/>
          <w:szCs w:val="24"/>
        </w:rPr>
        <w:t>Prihodi za posebne namjene su planirani za pokriće troškova održavanja nastave na engleskom studiju kao i pokrića dijela troškova održavanja opreme i zgrada. Iz istog izvora financiranja u 2023. godini planira se otplata preostalog dijela kratkoročnog kredita podignutog 2022. godine za podmirenje rashoda za isplatu plaća po pravomoćnoj i ovršnoj presudi iz radnog spora pokrenutog 1994. godine u iznosu 530.891 eura.</w:t>
      </w:r>
    </w:p>
    <w:p w:rsidR="00BE2B24" w:rsidRPr="00927915" w:rsidRDefault="00927915" w:rsidP="0092791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1.3</w:t>
      </w:r>
      <w:r w:rsidR="00BE2B24" w:rsidRPr="00927915">
        <w:rPr>
          <w:rFonts w:ascii="Times New Roman" w:hAnsi="Times New Roman" w:cs="Times New Roman"/>
          <w:sz w:val="24"/>
          <w:szCs w:val="24"/>
        </w:rPr>
        <w:t>. Obrazloženje programa- Ostale pomoći: prijenosi između proračunskih korisnika</w:t>
      </w:r>
      <w:r w:rsidRPr="00927915">
        <w:rPr>
          <w:rFonts w:ascii="Times New Roman" w:hAnsi="Times New Roman" w:cs="Times New Roman"/>
          <w:sz w:val="24"/>
          <w:szCs w:val="24"/>
        </w:rPr>
        <w:t xml:space="preserve"> – izvor 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234"/>
        <w:gridCol w:w="1220"/>
        <w:gridCol w:w="1220"/>
        <w:gridCol w:w="1204"/>
        <w:gridCol w:w="1220"/>
        <w:gridCol w:w="1197"/>
      </w:tblGrid>
      <w:tr w:rsidR="00BE2B24" w:rsidRPr="00927915" w:rsidTr="0014371B">
        <w:tc>
          <w:tcPr>
            <w:tcW w:w="1767" w:type="dxa"/>
            <w:shd w:val="clear" w:color="auto" w:fill="D0CECE" w:themeFill="background2" w:themeFillShade="E6"/>
          </w:tcPr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D0CECE" w:themeFill="background2" w:themeFillShade="E6"/>
            <w:vAlign w:val="center"/>
          </w:tcPr>
          <w:p w:rsidR="00BE2B24" w:rsidRPr="00927915" w:rsidRDefault="00BE2B24" w:rsidP="001437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Izvršenje 2021.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BE2B24" w:rsidRPr="00927915" w:rsidRDefault="00BE2B24" w:rsidP="001437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2022.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BE2B24" w:rsidRPr="00927915" w:rsidRDefault="00BE2B24" w:rsidP="001437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2023.</w:t>
            </w:r>
          </w:p>
        </w:tc>
        <w:tc>
          <w:tcPr>
            <w:tcW w:w="1204" w:type="dxa"/>
            <w:shd w:val="clear" w:color="auto" w:fill="D0CECE" w:themeFill="background2" w:themeFillShade="E6"/>
            <w:vAlign w:val="center"/>
          </w:tcPr>
          <w:p w:rsidR="00BE2B24" w:rsidRPr="00927915" w:rsidRDefault="00BE2B24" w:rsidP="001437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BE2B24" w:rsidRPr="00927915" w:rsidRDefault="00BE2B24" w:rsidP="001437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197" w:type="dxa"/>
            <w:shd w:val="clear" w:color="auto" w:fill="D0CECE" w:themeFill="background2" w:themeFillShade="E6"/>
            <w:vAlign w:val="center"/>
          </w:tcPr>
          <w:p w:rsidR="00BE2B24" w:rsidRPr="00927915" w:rsidRDefault="00BE2B24" w:rsidP="001437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Indeks 23./22.</w:t>
            </w:r>
          </w:p>
        </w:tc>
      </w:tr>
      <w:tr w:rsidR="00BE2B24" w:rsidRPr="00927915" w:rsidTr="0014371B">
        <w:tc>
          <w:tcPr>
            <w:tcW w:w="1767" w:type="dxa"/>
          </w:tcPr>
          <w:p w:rsidR="00BE2B24" w:rsidRPr="00927915" w:rsidRDefault="00BE2B24" w:rsidP="0014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A679088- izvor 52</w:t>
            </w:r>
          </w:p>
        </w:tc>
        <w:tc>
          <w:tcPr>
            <w:tcW w:w="1234" w:type="dxa"/>
          </w:tcPr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155697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15.246</w:t>
            </w:r>
          </w:p>
        </w:tc>
        <w:tc>
          <w:tcPr>
            <w:tcW w:w="1220" w:type="dxa"/>
          </w:tcPr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155697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547.362</w:t>
            </w:r>
          </w:p>
        </w:tc>
        <w:tc>
          <w:tcPr>
            <w:tcW w:w="1220" w:type="dxa"/>
          </w:tcPr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155697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488.785</w:t>
            </w:r>
          </w:p>
        </w:tc>
        <w:tc>
          <w:tcPr>
            <w:tcW w:w="1204" w:type="dxa"/>
          </w:tcPr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155697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463.840</w:t>
            </w:r>
          </w:p>
        </w:tc>
        <w:tc>
          <w:tcPr>
            <w:tcW w:w="1220" w:type="dxa"/>
          </w:tcPr>
          <w:p w:rsidR="00BE2B24" w:rsidRPr="00927915" w:rsidRDefault="00BE2B24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155697" w:rsidP="001437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437.985</w:t>
            </w:r>
          </w:p>
        </w:tc>
        <w:tc>
          <w:tcPr>
            <w:tcW w:w="1197" w:type="dxa"/>
          </w:tcPr>
          <w:p w:rsidR="00BE2B24" w:rsidRPr="00927915" w:rsidRDefault="00BE2B24" w:rsidP="0014371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B24" w:rsidRPr="00927915" w:rsidRDefault="00883635" w:rsidP="0014371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89,30</w:t>
            </w:r>
          </w:p>
        </w:tc>
      </w:tr>
    </w:tbl>
    <w:p w:rsidR="00993503" w:rsidRPr="00927915" w:rsidRDefault="00993503" w:rsidP="00CA62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Prihodi od HZZ</w:t>
      </w:r>
      <w:r w:rsidR="00672595" w:rsidRPr="0092791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155697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="00672595" w:rsidRPr="00927915">
        <w:rPr>
          <w:rFonts w:ascii="Times New Roman" w:hAnsi="Times New Roman" w:cs="Times New Roman"/>
          <w:color w:val="000000"/>
          <w:sz w:val="24"/>
          <w:szCs w:val="24"/>
        </w:rPr>
        <w:t>.godini u</w:t>
      </w:r>
      <w:r w:rsidR="00155697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iznosu od 50.800 eura</w:t>
      </w:r>
      <w:r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planirani su za pokriće troškova</w:t>
      </w:r>
      <w:r w:rsidR="003A382A">
        <w:rPr>
          <w:rFonts w:ascii="Times New Roman" w:hAnsi="Times New Roman" w:cs="Times New Roman"/>
          <w:color w:val="000000"/>
          <w:sz w:val="24"/>
          <w:szCs w:val="24"/>
        </w:rPr>
        <w:t xml:space="preserve"> a aktivnosti A557042 Program doktoranada i poslijedoktoranada HRZZ</w:t>
      </w:r>
      <w:r w:rsidR="00F86A9C" w:rsidRPr="009279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7AA2" w:rsidRPr="007D0622" w:rsidRDefault="00155697" w:rsidP="007D06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15">
        <w:rPr>
          <w:rFonts w:ascii="Times New Roman" w:hAnsi="Times New Roman" w:cs="Times New Roman"/>
          <w:color w:val="000000"/>
          <w:sz w:val="24"/>
          <w:szCs w:val="24"/>
        </w:rPr>
        <w:t>Prihod od Ministarstva poljoprivrede</w:t>
      </w:r>
      <w:r w:rsidR="003C2B28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za programe</w:t>
      </w:r>
      <w:r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zdravstvena zaštita životinja planiran j</w:t>
      </w:r>
      <w:r w:rsidR="003C2B28" w:rsidRPr="0092791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A382A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3C2B28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iznos</w:t>
      </w:r>
      <w:r w:rsidR="003A382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C2B28" w:rsidRPr="00927915">
        <w:rPr>
          <w:rFonts w:ascii="Times New Roman" w:hAnsi="Times New Roman" w:cs="Times New Roman"/>
          <w:color w:val="000000"/>
          <w:sz w:val="24"/>
          <w:szCs w:val="24"/>
        </w:rPr>
        <w:t xml:space="preserve"> 437.985 eura u 2023.g te isti iznosi </w:t>
      </w:r>
      <w:r w:rsidR="007D0622">
        <w:rPr>
          <w:rFonts w:ascii="Times New Roman" w:hAnsi="Times New Roman" w:cs="Times New Roman"/>
          <w:color w:val="000000"/>
          <w:sz w:val="24"/>
          <w:szCs w:val="24"/>
        </w:rPr>
        <w:t>u projekcijama 2024. i 2025.g</w:t>
      </w:r>
    </w:p>
    <w:p w:rsidR="009337A4" w:rsidRPr="00927915" w:rsidRDefault="00672595" w:rsidP="00E07A8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1.</w:t>
      </w:r>
      <w:r w:rsidR="00216247" w:rsidRPr="00927915">
        <w:rPr>
          <w:rFonts w:ascii="Times New Roman" w:hAnsi="Times New Roman" w:cs="Times New Roman"/>
          <w:sz w:val="24"/>
          <w:szCs w:val="24"/>
        </w:rPr>
        <w:t xml:space="preserve">4. </w:t>
      </w:r>
      <w:r w:rsidRPr="00927915">
        <w:rPr>
          <w:rFonts w:ascii="Times New Roman" w:hAnsi="Times New Roman" w:cs="Times New Roman"/>
          <w:sz w:val="24"/>
          <w:szCs w:val="24"/>
        </w:rPr>
        <w:t xml:space="preserve"> Obrazloženje programa- EU projekti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49"/>
        <w:gridCol w:w="1212"/>
        <w:gridCol w:w="1125"/>
        <w:gridCol w:w="1136"/>
        <w:gridCol w:w="1358"/>
        <w:gridCol w:w="1186"/>
      </w:tblGrid>
      <w:tr w:rsidR="00005996" w:rsidRPr="00927915" w:rsidTr="00927915">
        <w:tc>
          <w:tcPr>
            <w:tcW w:w="1696" w:type="dxa"/>
            <w:shd w:val="clear" w:color="auto" w:fill="D0CECE" w:themeFill="background2" w:themeFillShade="E6"/>
          </w:tcPr>
          <w:p w:rsidR="00216247" w:rsidRPr="00927915" w:rsidRDefault="00216247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247" w:rsidRPr="00927915" w:rsidRDefault="00216247" w:rsidP="00CA62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D0CECE" w:themeFill="background2" w:themeFillShade="E6"/>
            <w:vAlign w:val="center"/>
          </w:tcPr>
          <w:p w:rsidR="00216247" w:rsidRPr="00927915" w:rsidRDefault="00611BEE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Izvršenje 2021</w:t>
            </w:r>
            <w:r w:rsidR="00216247"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2" w:type="dxa"/>
            <w:shd w:val="clear" w:color="auto" w:fill="D0CECE" w:themeFill="background2" w:themeFillShade="E6"/>
            <w:vAlign w:val="center"/>
          </w:tcPr>
          <w:p w:rsidR="00216247" w:rsidRPr="00927915" w:rsidRDefault="00216247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611BEE" w:rsidRPr="00927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D0CECE" w:themeFill="background2" w:themeFillShade="E6"/>
            <w:vAlign w:val="center"/>
          </w:tcPr>
          <w:p w:rsidR="00216247" w:rsidRPr="00927915" w:rsidRDefault="00216247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11BEE" w:rsidRPr="0092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:rsidR="00216247" w:rsidRPr="00927915" w:rsidRDefault="00216247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11BEE" w:rsidRPr="00927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8" w:type="dxa"/>
            <w:shd w:val="clear" w:color="auto" w:fill="D0CECE" w:themeFill="background2" w:themeFillShade="E6"/>
            <w:vAlign w:val="center"/>
          </w:tcPr>
          <w:p w:rsidR="00984066" w:rsidRDefault="00216247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  <w:p w:rsidR="00216247" w:rsidRPr="00927915" w:rsidRDefault="00216247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1BEE" w:rsidRPr="00927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  <w:shd w:val="clear" w:color="auto" w:fill="D0CECE" w:themeFill="background2" w:themeFillShade="E6"/>
            <w:vAlign w:val="center"/>
          </w:tcPr>
          <w:p w:rsidR="00216247" w:rsidRPr="00927915" w:rsidRDefault="00216247" w:rsidP="00CA62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611BEE" w:rsidRPr="0092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611BEE" w:rsidRPr="00927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8A4" w:rsidRPr="00927915" w:rsidTr="00927915">
        <w:tc>
          <w:tcPr>
            <w:tcW w:w="1696" w:type="dxa"/>
          </w:tcPr>
          <w:p w:rsidR="000728A4" w:rsidRPr="00927915" w:rsidRDefault="009337A4" w:rsidP="00CA6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K679106- ESF</w:t>
            </w:r>
            <w:r w:rsidR="000728A4" w:rsidRPr="00927915">
              <w:rPr>
                <w:rFonts w:ascii="Times New Roman" w:hAnsi="Times New Roman" w:cs="Times New Roman"/>
                <w:sz w:val="24"/>
                <w:szCs w:val="24"/>
              </w:rPr>
              <w:t>-561</w:t>
            </w:r>
          </w:p>
        </w:tc>
        <w:tc>
          <w:tcPr>
            <w:tcW w:w="1349" w:type="dxa"/>
          </w:tcPr>
          <w:p w:rsidR="00E27FCF" w:rsidRPr="00927915" w:rsidRDefault="00E27FCF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303.583</w:t>
            </w:r>
          </w:p>
        </w:tc>
        <w:tc>
          <w:tcPr>
            <w:tcW w:w="1212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487.860</w:t>
            </w:r>
          </w:p>
        </w:tc>
        <w:tc>
          <w:tcPr>
            <w:tcW w:w="1125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108.168</w:t>
            </w:r>
          </w:p>
        </w:tc>
        <w:tc>
          <w:tcPr>
            <w:tcW w:w="113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</w:tr>
      <w:tr w:rsidR="000728A4" w:rsidRPr="00927915" w:rsidTr="00927915">
        <w:tc>
          <w:tcPr>
            <w:tcW w:w="1696" w:type="dxa"/>
          </w:tcPr>
          <w:p w:rsidR="009337A4" w:rsidRDefault="009337A4" w:rsidP="00CA6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A679078</w:t>
            </w:r>
          </w:p>
          <w:p w:rsidR="000728A4" w:rsidRPr="00927915" w:rsidRDefault="000728A4" w:rsidP="00CA6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EFRR -563</w:t>
            </w:r>
          </w:p>
        </w:tc>
        <w:tc>
          <w:tcPr>
            <w:tcW w:w="1349" w:type="dxa"/>
          </w:tcPr>
          <w:p w:rsidR="00E27FCF" w:rsidRPr="00927915" w:rsidRDefault="00E27FCF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148.589</w:t>
            </w:r>
          </w:p>
        </w:tc>
        <w:tc>
          <w:tcPr>
            <w:tcW w:w="1212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356.372</w:t>
            </w:r>
          </w:p>
        </w:tc>
        <w:tc>
          <w:tcPr>
            <w:tcW w:w="1125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112.349</w:t>
            </w:r>
          </w:p>
        </w:tc>
        <w:tc>
          <w:tcPr>
            <w:tcW w:w="113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95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31,53</w:t>
            </w:r>
          </w:p>
        </w:tc>
      </w:tr>
      <w:tr w:rsidR="000728A4" w:rsidRPr="00927915" w:rsidTr="00927915">
        <w:tc>
          <w:tcPr>
            <w:tcW w:w="1696" w:type="dxa"/>
          </w:tcPr>
          <w:p w:rsidR="000728A4" w:rsidRPr="00927915" w:rsidRDefault="000728A4" w:rsidP="00CA6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 xml:space="preserve">A679078- tekuće pomoći </w:t>
            </w:r>
            <w:r w:rsidRPr="00927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 drugog proračuna -52</w:t>
            </w:r>
          </w:p>
        </w:tc>
        <w:tc>
          <w:tcPr>
            <w:tcW w:w="1349" w:type="dxa"/>
          </w:tcPr>
          <w:p w:rsidR="00E27FCF" w:rsidRPr="00927915" w:rsidRDefault="00E27FCF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20.837</w:t>
            </w:r>
          </w:p>
        </w:tc>
        <w:tc>
          <w:tcPr>
            <w:tcW w:w="1212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34.305</w:t>
            </w:r>
          </w:p>
          <w:p w:rsidR="00611BEE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42.471</w:t>
            </w:r>
          </w:p>
        </w:tc>
        <w:tc>
          <w:tcPr>
            <w:tcW w:w="113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11BEE" w:rsidP="00611B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D04A95" w:rsidRPr="00927915" w:rsidRDefault="00D04A95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95" w:rsidRPr="00927915" w:rsidRDefault="00D04A95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123,80</w:t>
            </w:r>
          </w:p>
        </w:tc>
      </w:tr>
      <w:tr w:rsidR="000728A4" w:rsidRPr="00927915" w:rsidTr="00927915">
        <w:trPr>
          <w:trHeight w:val="1676"/>
        </w:trPr>
        <w:tc>
          <w:tcPr>
            <w:tcW w:w="1696" w:type="dxa"/>
          </w:tcPr>
          <w:p w:rsidR="000728A4" w:rsidRPr="00927915" w:rsidRDefault="000728A4" w:rsidP="00CA6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A679078- tekući prijenosi istog proračuna -52</w:t>
            </w:r>
          </w:p>
        </w:tc>
        <w:tc>
          <w:tcPr>
            <w:tcW w:w="1349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FCF" w:rsidRPr="00927915" w:rsidRDefault="00E27FCF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163.090</w:t>
            </w:r>
          </w:p>
        </w:tc>
        <w:tc>
          <w:tcPr>
            <w:tcW w:w="1212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347.744</w:t>
            </w:r>
          </w:p>
        </w:tc>
        <w:tc>
          <w:tcPr>
            <w:tcW w:w="1125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EE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142.014</w:t>
            </w:r>
          </w:p>
        </w:tc>
        <w:tc>
          <w:tcPr>
            <w:tcW w:w="113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EE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13.272</w:t>
            </w:r>
          </w:p>
        </w:tc>
        <w:tc>
          <w:tcPr>
            <w:tcW w:w="1358" w:type="dxa"/>
          </w:tcPr>
          <w:p w:rsidR="000728A4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A4" w:rsidRDefault="009337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A4" w:rsidRPr="00927915" w:rsidRDefault="009337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2ED" w:rsidRPr="00927915" w:rsidRDefault="005012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95" w:rsidRPr="00927915" w:rsidRDefault="006929ED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224,89</w:t>
            </w:r>
          </w:p>
        </w:tc>
      </w:tr>
      <w:tr w:rsidR="000728A4" w:rsidRPr="00927915" w:rsidTr="00927915">
        <w:trPr>
          <w:trHeight w:val="741"/>
        </w:trPr>
        <w:tc>
          <w:tcPr>
            <w:tcW w:w="1696" w:type="dxa"/>
          </w:tcPr>
          <w:p w:rsidR="000728A4" w:rsidRPr="00927915" w:rsidRDefault="000728A4" w:rsidP="00CA6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4009373"/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A679078- pomoći EU-51</w:t>
            </w:r>
            <w:bookmarkEnd w:id="2"/>
          </w:p>
        </w:tc>
        <w:tc>
          <w:tcPr>
            <w:tcW w:w="1349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3A" w:rsidRPr="00927915" w:rsidRDefault="000A411C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286.132</w:t>
            </w:r>
          </w:p>
        </w:tc>
        <w:tc>
          <w:tcPr>
            <w:tcW w:w="1212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33D" w:rsidRPr="00927915" w:rsidRDefault="00611BEE" w:rsidP="00611B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75.320</w:t>
            </w:r>
          </w:p>
        </w:tc>
        <w:tc>
          <w:tcPr>
            <w:tcW w:w="1125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EE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252.980</w:t>
            </w:r>
          </w:p>
        </w:tc>
        <w:tc>
          <w:tcPr>
            <w:tcW w:w="1136" w:type="dxa"/>
          </w:tcPr>
          <w:p w:rsidR="00611BEE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A4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179.489</w:t>
            </w:r>
          </w:p>
        </w:tc>
        <w:tc>
          <w:tcPr>
            <w:tcW w:w="1358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EE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88.909</w:t>
            </w:r>
          </w:p>
        </w:tc>
        <w:tc>
          <w:tcPr>
            <w:tcW w:w="1186" w:type="dxa"/>
          </w:tcPr>
          <w:p w:rsidR="000728A4" w:rsidRPr="00927915" w:rsidRDefault="000728A4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A95" w:rsidRPr="00927915" w:rsidRDefault="00611BEE" w:rsidP="00CA622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15">
              <w:rPr>
                <w:rFonts w:ascii="Times New Roman" w:hAnsi="Times New Roman" w:cs="Times New Roman"/>
                <w:sz w:val="24"/>
                <w:szCs w:val="24"/>
              </w:rPr>
              <w:t>335,87</w:t>
            </w:r>
          </w:p>
        </w:tc>
      </w:tr>
    </w:tbl>
    <w:p w:rsidR="00256D2E" w:rsidRPr="00927915" w:rsidRDefault="00256D2E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48C" w:rsidRPr="00927915" w:rsidRDefault="0001148C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U okviru ESF na </w:t>
      </w:r>
      <w:r w:rsidR="00547387" w:rsidRPr="00927915">
        <w:rPr>
          <w:rFonts w:ascii="Times New Roman" w:hAnsi="Times New Roman" w:cs="Times New Roman"/>
          <w:sz w:val="24"/>
          <w:szCs w:val="24"/>
        </w:rPr>
        <w:t xml:space="preserve">fakultetu se provodi </w:t>
      </w:r>
      <w:r w:rsidR="004A6661" w:rsidRPr="00927915">
        <w:rPr>
          <w:rFonts w:ascii="Times New Roman" w:hAnsi="Times New Roman" w:cs="Times New Roman"/>
          <w:sz w:val="24"/>
          <w:szCs w:val="24"/>
        </w:rPr>
        <w:t>projekt</w:t>
      </w:r>
      <w:r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4A6661" w:rsidRPr="00927915">
        <w:rPr>
          <w:rFonts w:ascii="Times New Roman" w:hAnsi="Times New Roman" w:cs="Times New Roman"/>
          <w:sz w:val="24"/>
          <w:szCs w:val="24"/>
        </w:rPr>
        <w:t>„</w:t>
      </w:r>
      <w:r w:rsidRPr="00927915">
        <w:rPr>
          <w:rFonts w:ascii="Times New Roman" w:hAnsi="Times New Roman" w:cs="Times New Roman"/>
          <w:sz w:val="24"/>
          <w:szCs w:val="24"/>
        </w:rPr>
        <w:t>Unapređenje stručne prakse na farmskim životinjama VETFARM</w:t>
      </w:r>
      <w:r w:rsidR="004A6661" w:rsidRPr="00927915">
        <w:rPr>
          <w:rFonts w:ascii="Times New Roman" w:hAnsi="Times New Roman" w:cs="Times New Roman"/>
          <w:sz w:val="24"/>
          <w:szCs w:val="24"/>
        </w:rPr>
        <w:t>“ koji završava 2023 godine.</w:t>
      </w:r>
      <w:r w:rsidR="00547387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4A6661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AC70B6" w:rsidRPr="00927915">
        <w:rPr>
          <w:rFonts w:ascii="Times New Roman" w:hAnsi="Times New Roman" w:cs="Times New Roman"/>
          <w:sz w:val="24"/>
          <w:szCs w:val="24"/>
        </w:rPr>
        <w:t>Provedbom projekta „VETFARM“, studentima će se osigurati veći broj pacijenata iz skupine farmskih životinja i konja radi usavršavanja stečenih znanja i praktičnih kompetencija.</w:t>
      </w:r>
      <w:r w:rsidR="00AE4A52" w:rsidRPr="00927915">
        <w:t xml:space="preserve"> </w:t>
      </w:r>
      <w:r w:rsidR="00AE4A52" w:rsidRPr="00927915">
        <w:rPr>
          <w:rFonts w:ascii="Times New Roman" w:hAnsi="Times New Roman" w:cs="Times New Roman"/>
          <w:sz w:val="24"/>
          <w:szCs w:val="24"/>
        </w:rPr>
        <w:t>Istodobno će se kroz odlaske na kongrese i edukacije podići stručne kompetencije fakultetskih nastavnika, kao i  nastavničke kompetencije terenskih veterinara – stručnih mentora (doktorat za po jednog djelatnika svake ustanove o trošku Fakulteta), koje su nužne za provedbu stručne prakse na terenu</w:t>
      </w:r>
    </w:p>
    <w:p w:rsidR="00005996" w:rsidRPr="00927915" w:rsidRDefault="00A37DB0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U okviru EFRR do 2023. godine traje i</w:t>
      </w:r>
      <w:r w:rsidR="00B9510F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DD282C" w:rsidRPr="00927915">
        <w:rPr>
          <w:rFonts w:ascii="Times New Roman" w:hAnsi="Times New Roman" w:cs="Times New Roman"/>
          <w:sz w:val="24"/>
          <w:szCs w:val="24"/>
        </w:rPr>
        <w:t>projek</w:t>
      </w:r>
      <w:r w:rsidR="0036322E" w:rsidRPr="00927915">
        <w:rPr>
          <w:rFonts w:ascii="Times New Roman" w:hAnsi="Times New Roman" w:cs="Times New Roman"/>
          <w:sz w:val="24"/>
          <w:szCs w:val="24"/>
        </w:rPr>
        <w:t xml:space="preserve">t </w:t>
      </w:r>
      <w:r w:rsidR="00DD282C" w:rsidRPr="00927915">
        <w:rPr>
          <w:rFonts w:ascii="Times New Roman" w:hAnsi="Times New Roman" w:cs="Times New Roman"/>
          <w:sz w:val="24"/>
          <w:szCs w:val="24"/>
        </w:rPr>
        <w:t>„</w:t>
      </w:r>
      <w:r w:rsidR="0036322E" w:rsidRPr="00927915">
        <w:rPr>
          <w:rFonts w:ascii="Times New Roman" w:hAnsi="Times New Roman" w:cs="Times New Roman"/>
          <w:sz w:val="24"/>
          <w:szCs w:val="24"/>
        </w:rPr>
        <w:t xml:space="preserve">Razvoj inovativnog brzog testa za dijagnostiku subkliničkog mastitisa </w:t>
      </w:r>
      <w:r w:rsidR="00005996" w:rsidRPr="00927915">
        <w:rPr>
          <w:rFonts w:ascii="Times New Roman" w:hAnsi="Times New Roman" w:cs="Times New Roman"/>
          <w:sz w:val="24"/>
          <w:szCs w:val="24"/>
        </w:rPr>
        <w:t xml:space="preserve">u </w:t>
      </w:r>
      <w:r w:rsidR="0036322E" w:rsidRPr="00927915">
        <w:rPr>
          <w:rFonts w:ascii="Times New Roman" w:hAnsi="Times New Roman" w:cs="Times New Roman"/>
          <w:sz w:val="24"/>
          <w:szCs w:val="24"/>
        </w:rPr>
        <w:t>mliječnih krava</w:t>
      </w:r>
      <w:r w:rsidR="00DD282C" w:rsidRPr="00927915">
        <w:rPr>
          <w:rFonts w:ascii="Times New Roman" w:hAnsi="Times New Roman" w:cs="Times New Roman"/>
          <w:sz w:val="24"/>
          <w:szCs w:val="24"/>
        </w:rPr>
        <w:t>“</w:t>
      </w:r>
      <w:r w:rsidR="00005996" w:rsidRPr="00927915">
        <w:rPr>
          <w:rFonts w:ascii="Times New Roman" w:hAnsi="Times New Roman" w:cs="Times New Roman"/>
          <w:sz w:val="24"/>
          <w:szCs w:val="24"/>
        </w:rPr>
        <w:t>.</w:t>
      </w:r>
      <w:r w:rsidR="001F5E65" w:rsidRPr="00927915">
        <w:rPr>
          <w:rFonts w:ascii="Times New Roman" w:hAnsi="Times New Roman" w:cs="Times New Roman"/>
          <w:sz w:val="24"/>
          <w:szCs w:val="24"/>
        </w:rPr>
        <w:t xml:space="preserve"> Projekt je usmjeren na detekciju, karakterizaciju i kvantifikaciju proteomskog profila mlijeka krava sa subkliničkim mastitisom, s ciljem primjene naprednih, inovativnih i najsuvremenijih tehnologija u razvoju i stvaranju novog dijagnostičkog testa za subklinički mastitis.</w:t>
      </w:r>
    </w:p>
    <w:p w:rsidR="00AC70B6" w:rsidRPr="00927915" w:rsidRDefault="007E5A56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U okviru aktivnosti </w:t>
      </w:r>
      <w:r w:rsidR="00C233D6" w:rsidRPr="00927915">
        <w:rPr>
          <w:rFonts w:ascii="Times New Roman" w:hAnsi="Times New Roman" w:cs="Times New Roman"/>
          <w:sz w:val="24"/>
          <w:szCs w:val="24"/>
        </w:rPr>
        <w:t>A679078- te</w:t>
      </w:r>
      <w:r w:rsidR="00DD282C" w:rsidRPr="00927915">
        <w:rPr>
          <w:rFonts w:ascii="Times New Roman" w:hAnsi="Times New Roman" w:cs="Times New Roman"/>
          <w:sz w:val="24"/>
          <w:szCs w:val="24"/>
        </w:rPr>
        <w:t>kuće pomoći od drugog proračuna –</w:t>
      </w:r>
      <w:r w:rsidR="00B9510F" w:rsidRPr="00927915">
        <w:rPr>
          <w:rFonts w:ascii="Times New Roman" w:hAnsi="Times New Roman" w:cs="Times New Roman"/>
          <w:sz w:val="24"/>
          <w:szCs w:val="24"/>
        </w:rPr>
        <w:t xml:space="preserve"> izvor </w:t>
      </w:r>
      <w:r w:rsidR="00C233D6" w:rsidRPr="00927915">
        <w:rPr>
          <w:rFonts w:ascii="Times New Roman" w:hAnsi="Times New Roman" w:cs="Times New Roman"/>
          <w:sz w:val="24"/>
          <w:szCs w:val="24"/>
        </w:rPr>
        <w:t>52 planirana su s</w:t>
      </w:r>
      <w:r w:rsidR="00DD282C" w:rsidRPr="00927915">
        <w:rPr>
          <w:rFonts w:ascii="Times New Roman" w:hAnsi="Times New Roman" w:cs="Times New Roman"/>
          <w:sz w:val="24"/>
          <w:szCs w:val="24"/>
        </w:rPr>
        <w:t xml:space="preserve">redstva od nositelja projekta </w:t>
      </w:r>
      <w:r w:rsidR="001E4153" w:rsidRPr="00927915">
        <w:rPr>
          <w:rFonts w:ascii="Times New Roman" w:hAnsi="Times New Roman" w:cs="Times New Roman"/>
          <w:sz w:val="24"/>
          <w:szCs w:val="24"/>
        </w:rPr>
        <w:t>Ustanove za istraživanje i širenje znanja u području prehrane i zdravlja CEKOM</w:t>
      </w:r>
      <w:r w:rsidR="00515A65" w:rsidRPr="00927915">
        <w:rPr>
          <w:rFonts w:ascii="Times New Roman" w:hAnsi="Times New Roman" w:cs="Times New Roman"/>
          <w:sz w:val="24"/>
          <w:szCs w:val="24"/>
        </w:rPr>
        <w:t xml:space="preserve"> 3LJ</w:t>
      </w:r>
      <w:r w:rsidR="001E4153" w:rsidRPr="00927915">
        <w:rPr>
          <w:rFonts w:ascii="Times New Roman" w:hAnsi="Times New Roman" w:cs="Times New Roman"/>
          <w:sz w:val="24"/>
          <w:szCs w:val="24"/>
        </w:rPr>
        <w:t>.</w:t>
      </w:r>
      <w:r w:rsidR="00DD282C" w:rsidRPr="00927915">
        <w:rPr>
          <w:rFonts w:ascii="Times New Roman" w:hAnsi="Times New Roman" w:cs="Times New Roman"/>
          <w:sz w:val="24"/>
          <w:szCs w:val="24"/>
        </w:rPr>
        <w:t xml:space="preserve"> </w:t>
      </w:r>
      <w:r w:rsidR="001E4153" w:rsidRPr="00927915">
        <w:rPr>
          <w:rFonts w:ascii="Times New Roman" w:hAnsi="Times New Roman" w:cs="Times New Roman"/>
          <w:sz w:val="24"/>
          <w:szCs w:val="24"/>
        </w:rPr>
        <w:t>EU Projekt CEKOM 3LJ razvit će specifične nove proizvode temeljene na samoniklim vrstama ljekovitog i aromatičnog bilja Dalmatinske zagore. Kroz razvoj novih proizvoda temeljenih na navedenom prirodnom potencijalu omogućit će se dodana vrijednost postojećoj proizvodnji zainteresiranih poduzetnika i ulazak na tržište zdrave i funkcionalne hrane</w:t>
      </w:r>
    </w:p>
    <w:p w:rsidR="008440B8" w:rsidRPr="00927915" w:rsidRDefault="00B9510F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 xml:space="preserve">U okviru aktivnosti </w:t>
      </w:r>
      <w:r w:rsidR="00C233D6" w:rsidRPr="00927915">
        <w:rPr>
          <w:rFonts w:ascii="Times New Roman" w:hAnsi="Times New Roman" w:cs="Times New Roman"/>
          <w:sz w:val="24"/>
          <w:szCs w:val="24"/>
        </w:rPr>
        <w:t xml:space="preserve">A679078- tekući prijenosi istog proračuna </w:t>
      </w:r>
      <w:r w:rsidRPr="00927915">
        <w:rPr>
          <w:rFonts w:ascii="Times New Roman" w:hAnsi="Times New Roman" w:cs="Times New Roman"/>
          <w:sz w:val="24"/>
          <w:szCs w:val="24"/>
        </w:rPr>
        <w:t xml:space="preserve">– izvor </w:t>
      </w:r>
      <w:r w:rsidR="00C233D6" w:rsidRPr="00927915">
        <w:rPr>
          <w:rFonts w:ascii="Times New Roman" w:hAnsi="Times New Roman" w:cs="Times New Roman"/>
          <w:sz w:val="24"/>
          <w:szCs w:val="24"/>
        </w:rPr>
        <w:t xml:space="preserve">52 </w:t>
      </w:r>
      <w:r w:rsidRPr="00927915">
        <w:rPr>
          <w:rFonts w:ascii="Times New Roman" w:hAnsi="Times New Roman" w:cs="Times New Roman"/>
          <w:sz w:val="24"/>
          <w:szCs w:val="24"/>
        </w:rPr>
        <w:t xml:space="preserve">planirana su </w:t>
      </w:r>
      <w:r w:rsidR="00C233D6" w:rsidRPr="00927915">
        <w:rPr>
          <w:rFonts w:ascii="Times New Roman" w:hAnsi="Times New Roman" w:cs="Times New Roman"/>
          <w:sz w:val="24"/>
          <w:szCs w:val="24"/>
        </w:rPr>
        <w:t>sredstv</w:t>
      </w:r>
      <w:r w:rsidR="00DD282C" w:rsidRPr="00927915">
        <w:rPr>
          <w:rFonts w:ascii="Times New Roman" w:hAnsi="Times New Roman" w:cs="Times New Roman"/>
          <w:sz w:val="24"/>
          <w:szCs w:val="24"/>
        </w:rPr>
        <w:t>a</w:t>
      </w:r>
      <w:r w:rsidRPr="00927915">
        <w:rPr>
          <w:rFonts w:ascii="Times New Roman" w:hAnsi="Times New Roman" w:cs="Times New Roman"/>
          <w:sz w:val="24"/>
          <w:szCs w:val="24"/>
        </w:rPr>
        <w:t xml:space="preserve"> za projekta </w:t>
      </w:r>
      <w:r w:rsidR="00AC70B6" w:rsidRPr="00927915">
        <w:rPr>
          <w:rFonts w:ascii="Times New Roman" w:hAnsi="Times New Roman" w:cs="Times New Roman"/>
          <w:sz w:val="24"/>
          <w:szCs w:val="24"/>
        </w:rPr>
        <w:t xml:space="preserve">Obzor 2020-OsteoproSpine.  OSTEOproSPINE je projekt Horizon 2020, koji traje pet godina i u njega je uključeno 12 partnera iz 6 zemalja. Financira ga Europska unija. Voditelj </w:t>
      </w:r>
      <w:r w:rsidR="00AC70B6" w:rsidRPr="00927915">
        <w:rPr>
          <w:rFonts w:ascii="Times New Roman" w:hAnsi="Times New Roman" w:cs="Times New Roman"/>
          <w:sz w:val="24"/>
          <w:szCs w:val="24"/>
        </w:rPr>
        <w:lastRenderedPageBreak/>
        <w:t xml:space="preserve">projekta je Medicinski fakultet u Zagrebu, a Veterinarski je fakultet u Zagrebu jedan od partnera zadužen za izvođenje animalne studije. </w:t>
      </w:r>
    </w:p>
    <w:p w:rsidR="00C233D6" w:rsidRPr="00927915" w:rsidRDefault="008440B8" w:rsidP="00AE4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U svrhu unaprjeđenja oporavilišta za divlje životinje na Veterinarskome fakultetu koje djeluje od 2017. godine odlukom Ministarstva zaštite okoliša i energetike,  početkom 2021. godine započeo je projekt pod nazivom „Unaprjeđenje i povećanje kapaciteta oporavilišta za divlje životinje na Veterinarskom fakultetu – WildRescueVEF“ koji se provodi u okviru Operativnog programa „Konkuren</w:t>
      </w:r>
      <w:r w:rsidR="00AE4A52" w:rsidRPr="00927915">
        <w:rPr>
          <w:rFonts w:ascii="Times New Roman" w:hAnsi="Times New Roman" w:cs="Times New Roman"/>
          <w:sz w:val="24"/>
          <w:szCs w:val="24"/>
        </w:rPr>
        <w:t xml:space="preserve">tnost i kohezija 2014. – 2020. </w:t>
      </w:r>
      <w:r w:rsidRPr="00927915">
        <w:rPr>
          <w:rFonts w:ascii="Times New Roman" w:hAnsi="Times New Roman" w:cs="Times New Roman"/>
          <w:sz w:val="24"/>
          <w:szCs w:val="24"/>
        </w:rPr>
        <w:t>U periodu trajanja projekta, preuredit će se unutarnji i vanjski prostori Veterinarskoga fakulteta kako bi se povećao kapacitet smještaja za divlje životinje, te će se nabaviti nova suvremena oprema.</w:t>
      </w:r>
      <w:r w:rsidR="00AE4A52" w:rsidRPr="00927915">
        <w:t xml:space="preserve"> </w:t>
      </w:r>
      <w:r w:rsidR="00AE4A52" w:rsidRPr="00927915">
        <w:rPr>
          <w:rFonts w:ascii="Times New Roman" w:hAnsi="Times New Roman" w:cs="Times New Roman"/>
          <w:sz w:val="24"/>
          <w:szCs w:val="24"/>
        </w:rPr>
        <w:t>Osim samog zbrinjavanja ozlijeđenih i bolesnih životinja, cilj projekta je i edukacija djelatnika oporavilišta kroz razne radionice, kongrese i tečajeve za rehabilitatore, te kroz  posjete drugim oporavilištima u zemlji i inozemstvu. Jedan od glavnih ciljeva oporavilišta je edukacija široke populacije o zaštiti prirode i bioraznolikosti, osobito edukacije mladih. Kroz interaktivne radionice, učenici osnovnih i srednjih škola moći će se upoznati s divljim životinjama koje nas okružuju, postupcima u slučaju pronalaska životinje, te važnosti očuvanja prirode i bioraznolikosti. Izradit ćemo i edukativne brošure o divljim životinjama koje će se moći skinuti sa web stranica Veterinarskoga fakulteta. Studenti će se moći uključiti u rad oporavilišta kao volonteri. Kroz volonitiranje će naučiti brojne stvari vezane uz ekologiju, biologiju i patologiju divljih životinja, a zajedno s djelatnicima oporavilišta imat će priliku sudjelovati i u brojnim edukativnim aktivnostima te raznim javnim događajima i festivalima koji promiču zaštitu prirode i edukaciju budućih generacija.</w:t>
      </w:r>
    </w:p>
    <w:p w:rsidR="007F7FE3" w:rsidRDefault="007F7FE3" w:rsidP="00BE2B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U okviru aktivnosti A679078- pomoći EU-51 planirani su prihodi i troš</w:t>
      </w:r>
      <w:r w:rsidR="00BE2B24" w:rsidRPr="00927915">
        <w:rPr>
          <w:rFonts w:ascii="Times New Roman" w:hAnsi="Times New Roman" w:cs="Times New Roman"/>
          <w:sz w:val="24"/>
          <w:szCs w:val="24"/>
        </w:rPr>
        <w:t xml:space="preserve">kovi LIFE LYNX </w:t>
      </w:r>
      <w:r w:rsidR="00AD5040" w:rsidRPr="00927915">
        <w:rPr>
          <w:rFonts w:ascii="Times New Roman" w:hAnsi="Times New Roman" w:cs="Times New Roman"/>
          <w:sz w:val="24"/>
          <w:szCs w:val="24"/>
        </w:rPr>
        <w:t xml:space="preserve">16 NAT projekta, </w:t>
      </w:r>
      <w:r w:rsidR="00AD5040" w:rsidRPr="00927915">
        <w:t xml:space="preserve"> </w:t>
      </w:r>
      <w:r w:rsidR="00BE2B24" w:rsidRPr="00927915">
        <w:rPr>
          <w:rFonts w:ascii="Times New Roman" w:hAnsi="Times New Roman" w:cs="Times New Roman"/>
          <w:sz w:val="24"/>
          <w:szCs w:val="24"/>
        </w:rPr>
        <w:t xml:space="preserve">te projekata započetih 2022. godine projekt </w:t>
      </w:r>
      <w:r w:rsidR="00AD5040" w:rsidRPr="00927915">
        <w:rPr>
          <w:rFonts w:ascii="Times New Roman" w:hAnsi="Times New Roman" w:cs="Times New Roman"/>
          <w:sz w:val="24"/>
          <w:szCs w:val="24"/>
        </w:rPr>
        <w:t xml:space="preserve">LIFE BOLD WOLF i </w:t>
      </w:r>
      <w:r w:rsidR="005E5F0E" w:rsidRPr="00927915">
        <w:rPr>
          <w:rFonts w:ascii="Times New Roman" w:hAnsi="Times New Roman" w:cs="Times New Roman"/>
          <w:sz w:val="24"/>
          <w:szCs w:val="24"/>
        </w:rPr>
        <w:t>Horizon projekt „</w:t>
      </w:r>
      <w:r w:rsidR="00AD5040" w:rsidRPr="00927915">
        <w:rPr>
          <w:rFonts w:ascii="Times New Roman" w:hAnsi="Times New Roman" w:cs="Times New Roman"/>
          <w:sz w:val="24"/>
          <w:szCs w:val="24"/>
        </w:rPr>
        <w:t>Best practices and inovations for a sustainable beekeeping in Europe B-THENET Thematic networ</w:t>
      </w:r>
      <w:r w:rsidR="005E5F0E" w:rsidRPr="00927915">
        <w:rPr>
          <w:rFonts w:ascii="Times New Roman" w:hAnsi="Times New Roman" w:cs="Times New Roman"/>
          <w:sz w:val="24"/>
          <w:szCs w:val="24"/>
        </w:rPr>
        <w:t>k“. Tematska mreža B-THENET provodi pristup s više partnera za modernizaciju pčelarskog sekto</w:t>
      </w:r>
      <w:r w:rsidR="00BE2B24" w:rsidRPr="00927915">
        <w:rPr>
          <w:rFonts w:ascii="Times New Roman" w:hAnsi="Times New Roman" w:cs="Times New Roman"/>
          <w:sz w:val="24"/>
          <w:szCs w:val="24"/>
        </w:rPr>
        <w:t xml:space="preserve">ra u EU-u, razmjenjujući znanje </w:t>
      </w:r>
      <w:r w:rsidR="005E5F0E" w:rsidRPr="00927915">
        <w:rPr>
          <w:rFonts w:ascii="Times New Roman" w:hAnsi="Times New Roman" w:cs="Times New Roman"/>
          <w:sz w:val="24"/>
          <w:szCs w:val="24"/>
        </w:rPr>
        <w:t>koje je spremno za primjenu u praksi, istovremeno potičući inovacije i digitalizaciju. Pčelari će se pomaknuti prema ekonomski održivijem i održivijem pčelarstvu kroz razmjenu znanja i obuku korisnih i primjenjivih najboljih praksi</w:t>
      </w:r>
      <w:r w:rsidR="00BE2B24" w:rsidRPr="00927915">
        <w:rPr>
          <w:rFonts w:ascii="Times New Roman" w:hAnsi="Times New Roman" w:cs="Times New Roman"/>
          <w:sz w:val="24"/>
          <w:szCs w:val="24"/>
        </w:rPr>
        <w:t>.</w:t>
      </w:r>
    </w:p>
    <w:p w:rsidR="00E07A85" w:rsidRDefault="00E07A85" w:rsidP="00BE2B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A85" w:rsidRDefault="00E07A85" w:rsidP="00BE2B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A85" w:rsidRPr="00927915" w:rsidRDefault="00E07A85" w:rsidP="00BE2B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4C" w:rsidRPr="00927915" w:rsidRDefault="00D01C4C" w:rsidP="00D01C4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lastRenderedPageBreak/>
        <w:t xml:space="preserve">K679116 Fond solidarnosti EU </w:t>
      </w:r>
      <w:r w:rsidR="006E1C6B" w:rsidRPr="00927915">
        <w:rPr>
          <w:rFonts w:ascii="Times New Roman" w:hAnsi="Times New Roman" w:cs="Times New Roman"/>
          <w:sz w:val="24"/>
          <w:szCs w:val="24"/>
        </w:rPr>
        <w:t>–</w:t>
      </w:r>
      <w:r w:rsidRPr="00927915">
        <w:rPr>
          <w:rFonts w:ascii="Times New Roman" w:hAnsi="Times New Roman" w:cs="Times New Roman"/>
          <w:sz w:val="24"/>
          <w:szCs w:val="24"/>
        </w:rPr>
        <w:t xml:space="preserve"> potres</w:t>
      </w:r>
      <w:r w:rsidR="00E07A85">
        <w:rPr>
          <w:rFonts w:ascii="Times New Roman" w:hAnsi="Times New Roman" w:cs="Times New Roman"/>
          <w:sz w:val="24"/>
          <w:szCs w:val="24"/>
        </w:rPr>
        <w:t xml:space="preserve"> – izvor </w:t>
      </w:r>
      <w:r w:rsidR="006E1C6B" w:rsidRPr="00927915">
        <w:rPr>
          <w:rFonts w:ascii="Times New Roman" w:hAnsi="Times New Roman" w:cs="Times New Roman"/>
          <w:sz w:val="24"/>
          <w:szCs w:val="24"/>
        </w:rPr>
        <w:t>576</w:t>
      </w:r>
    </w:p>
    <w:p w:rsidR="00D65945" w:rsidRPr="00927915" w:rsidRDefault="00D65945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4C" w:rsidRPr="00927915" w:rsidRDefault="00D01C4C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5">
        <w:rPr>
          <w:rFonts w:ascii="Times New Roman" w:hAnsi="Times New Roman" w:cs="Times New Roman"/>
          <w:sz w:val="24"/>
          <w:szCs w:val="24"/>
        </w:rPr>
        <w:t>Zbog nastalih oštećenja na zgradama Fakulteta izazvanih potresom, a sukladno ugovorenim obvezama iz Ugovora o dodjeli bespovratnih financijskih sredstava za operacije koje se financiraju iz Fonda solidarnosti Europske unije za operaciju</w:t>
      </w:r>
      <w:r w:rsidRPr="00927915">
        <w:t xml:space="preserve"> </w:t>
      </w:r>
      <w:r w:rsidRPr="00927915">
        <w:rPr>
          <w:rFonts w:ascii="Times New Roman" w:hAnsi="Times New Roman" w:cs="Times New Roman"/>
          <w:sz w:val="24"/>
          <w:szCs w:val="24"/>
        </w:rPr>
        <w:t>Obnova zgrada Veterinarskog fakulteta potpisanih s Ministarstvom znanosti i obrazovanja u 2023. godi</w:t>
      </w:r>
      <w:r w:rsidR="008F5194">
        <w:rPr>
          <w:rFonts w:ascii="Times New Roman" w:hAnsi="Times New Roman" w:cs="Times New Roman"/>
          <w:sz w:val="24"/>
          <w:szCs w:val="24"/>
        </w:rPr>
        <w:t>ni planirano je 527.196</w:t>
      </w:r>
      <w:r w:rsidR="007D0622">
        <w:rPr>
          <w:rFonts w:ascii="Times New Roman" w:hAnsi="Times New Roman" w:cs="Times New Roman"/>
          <w:sz w:val="24"/>
          <w:szCs w:val="24"/>
        </w:rPr>
        <w:t xml:space="preserve"> eura</w:t>
      </w:r>
      <w:r w:rsidRPr="00927915">
        <w:rPr>
          <w:rFonts w:ascii="Times New Roman" w:hAnsi="Times New Roman" w:cs="Times New Roman"/>
          <w:sz w:val="24"/>
          <w:szCs w:val="24"/>
        </w:rPr>
        <w:t xml:space="preserve">, s planom </w:t>
      </w:r>
      <w:r w:rsidR="00EB1DF2">
        <w:rPr>
          <w:rFonts w:ascii="Times New Roman" w:hAnsi="Times New Roman" w:cs="Times New Roman"/>
          <w:sz w:val="24"/>
          <w:szCs w:val="24"/>
        </w:rPr>
        <w:t>završetka u mjesecu svibnju 2023</w:t>
      </w:r>
      <w:r w:rsidRPr="00927915">
        <w:rPr>
          <w:rFonts w:ascii="Times New Roman" w:hAnsi="Times New Roman" w:cs="Times New Roman"/>
          <w:sz w:val="24"/>
          <w:szCs w:val="24"/>
        </w:rPr>
        <w:t>. godine.</w:t>
      </w:r>
    </w:p>
    <w:p w:rsidR="004E02C5" w:rsidRPr="00927915" w:rsidRDefault="004E02C5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64D" w:rsidRPr="00927915" w:rsidRDefault="00CB764D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64D" w:rsidRPr="00927915" w:rsidRDefault="00CB764D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D81" w:rsidRPr="00927915" w:rsidRDefault="00227D81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D81" w:rsidRPr="00927915" w:rsidRDefault="00227D81" w:rsidP="00CA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7D81" w:rsidRPr="009279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11" w:rsidRDefault="00803911">
      <w:pPr>
        <w:spacing w:after="0" w:line="240" w:lineRule="auto"/>
      </w:pPr>
      <w:r>
        <w:separator/>
      </w:r>
    </w:p>
  </w:endnote>
  <w:endnote w:type="continuationSeparator" w:id="0">
    <w:p w:rsidR="00803911" w:rsidRDefault="0080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1E">
          <w:rPr>
            <w:noProof/>
          </w:rPr>
          <w:t>4</w:t>
        </w:r>
        <w:r>
          <w:fldChar w:fldCharType="end"/>
        </w:r>
      </w:p>
    </w:sdtContent>
  </w:sdt>
  <w:p w:rsidR="009D005B" w:rsidRDefault="0080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11" w:rsidRDefault="00803911">
      <w:pPr>
        <w:spacing w:after="0" w:line="240" w:lineRule="auto"/>
      </w:pPr>
      <w:r>
        <w:separator/>
      </w:r>
    </w:p>
  </w:footnote>
  <w:footnote w:type="continuationSeparator" w:id="0">
    <w:p w:rsidR="00803911" w:rsidRDefault="0080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89B"/>
    <w:multiLevelType w:val="multilevel"/>
    <w:tmpl w:val="CC8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1DDE"/>
    <w:multiLevelType w:val="multilevel"/>
    <w:tmpl w:val="6E2288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  <w:color w:val="auto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699A"/>
    <w:multiLevelType w:val="multilevel"/>
    <w:tmpl w:val="2776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A2332"/>
    <w:multiLevelType w:val="hybridMultilevel"/>
    <w:tmpl w:val="193EB5D4"/>
    <w:lvl w:ilvl="0" w:tplc="F91E9608">
      <w:start w:val="437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D316F"/>
    <w:multiLevelType w:val="hybridMultilevel"/>
    <w:tmpl w:val="72A45B9E"/>
    <w:lvl w:ilvl="0" w:tplc="27F67A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B1433"/>
    <w:multiLevelType w:val="hybridMultilevel"/>
    <w:tmpl w:val="6D34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07B80"/>
    <w:multiLevelType w:val="hybridMultilevel"/>
    <w:tmpl w:val="9ABCCCB2"/>
    <w:lvl w:ilvl="0" w:tplc="27F67A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153C"/>
    <w:multiLevelType w:val="hybridMultilevel"/>
    <w:tmpl w:val="8CDC42D0"/>
    <w:lvl w:ilvl="0" w:tplc="27F67A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05996"/>
    <w:rsid w:val="0001148C"/>
    <w:rsid w:val="00034BEC"/>
    <w:rsid w:val="00034DE4"/>
    <w:rsid w:val="00060D38"/>
    <w:rsid w:val="000728A4"/>
    <w:rsid w:val="000743BC"/>
    <w:rsid w:val="00086D29"/>
    <w:rsid w:val="000A2723"/>
    <w:rsid w:val="000A411C"/>
    <w:rsid w:val="000B3347"/>
    <w:rsid w:val="000E210A"/>
    <w:rsid w:val="000E33E8"/>
    <w:rsid w:val="000F275B"/>
    <w:rsid w:val="00104B1E"/>
    <w:rsid w:val="0013666D"/>
    <w:rsid w:val="00146480"/>
    <w:rsid w:val="00155697"/>
    <w:rsid w:val="00191DDC"/>
    <w:rsid w:val="001B0F7A"/>
    <w:rsid w:val="001C0B26"/>
    <w:rsid w:val="001D06D0"/>
    <w:rsid w:val="001D0A31"/>
    <w:rsid w:val="001E4153"/>
    <w:rsid w:val="001F5E65"/>
    <w:rsid w:val="00210AA8"/>
    <w:rsid w:val="002140F9"/>
    <w:rsid w:val="00216247"/>
    <w:rsid w:val="00220BF7"/>
    <w:rsid w:val="00227D81"/>
    <w:rsid w:val="00236ADC"/>
    <w:rsid w:val="00252AB1"/>
    <w:rsid w:val="00256D2E"/>
    <w:rsid w:val="002B2F91"/>
    <w:rsid w:val="002B49F1"/>
    <w:rsid w:val="002C026D"/>
    <w:rsid w:val="002C2F62"/>
    <w:rsid w:val="002C7121"/>
    <w:rsid w:val="002D26CA"/>
    <w:rsid w:val="002D444E"/>
    <w:rsid w:val="002E0CFD"/>
    <w:rsid w:val="00306178"/>
    <w:rsid w:val="003239CD"/>
    <w:rsid w:val="00324025"/>
    <w:rsid w:val="00324046"/>
    <w:rsid w:val="0036322E"/>
    <w:rsid w:val="003733DE"/>
    <w:rsid w:val="003A382A"/>
    <w:rsid w:val="003A6FFF"/>
    <w:rsid w:val="003B2CF0"/>
    <w:rsid w:val="003C2B28"/>
    <w:rsid w:val="003F577B"/>
    <w:rsid w:val="00494E91"/>
    <w:rsid w:val="004A6661"/>
    <w:rsid w:val="004B1287"/>
    <w:rsid w:val="004B1F92"/>
    <w:rsid w:val="004B3B9C"/>
    <w:rsid w:val="004C3A59"/>
    <w:rsid w:val="004D4DE0"/>
    <w:rsid w:val="004E02C5"/>
    <w:rsid w:val="005012ED"/>
    <w:rsid w:val="00503806"/>
    <w:rsid w:val="00505735"/>
    <w:rsid w:val="00515A65"/>
    <w:rsid w:val="00547387"/>
    <w:rsid w:val="005713AE"/>
    <w:rsid w:val="00585281"/>
    <w:rsid w:val="005C60BD"/>
    <w:rsid w:val="005D34C0"/>
    <w:rsid w:val="005D7870"/>
    <w:rsid w:val="005E2941"/>
    <w:rsid w:val="005E5F0E"/>
    <w:rsid w:val="005F108C"/>
    <w:rsid w:val="00611828"/>
    <w:rsid w:val="00611BEE"/>
    <w:rsid w:val="00670BCB"/>
    <w:rsid w:val="00672595"/>
    <w:rsid w:val="00684381"/>
    <w:rsid w:val="00692231"/>
    <w:rsid w:val="006929ED"/>
    <w:rsid w:val="00697B21"/>
    <w:rsid w:val="006C1E2F"/>
    <w:rsid w:val="006E1C6B"/>
    <w:rsid w:val="006E5631"/>
    <w:rsid w:val="00703212"/>
    <w:rsid w:val="0071021E"/>
    <w:rsid w:val="00721F13"/>
    <w:rsid w:val="007258E1"/>
    <w:rsid w:val="00734E84"/>
    <w:rsid w:val="0074262F"/>
    <w:rsid w:val="00744EE4"/>
    <w:rsid w:val="00756797"/>
    <w:rsid w:val="0077114F"/>
    <w:rsid w:val="00791550"/>
    <w:rsid w:val="007A7163"/>
    <w:rsid w:val="007B4B33"/>
    <w:rsid w:val="007B5D4C"/>
    <w:rsid w:val="007C3B9A"/>
    <w:rsid w:val="007D0622"/>
    <w:rsid w:val="007E330A"/>
    <w:rsid w:val="007E5A56"/>
    <w:rsid w:val="007F7FE3"/>
    <w:rsid w:val="00803911"/>
    <w:rsid w:val="008223B8"/>
    <w:rsid w:val="00833357"/>
    <w:rsid w:val="00835788"/>
    <w:rsid w:val="008440B8"/>
    <w:rsid w:val="00846CD9"/>
    <w:rsid w:val="00846E65"/>
    <w:rsid w:val="008750BD"/>
    <w:rsid w:val="00883635"/>
    <w:rsid w:val="008860EE"/>
    <w:rsid w:val="0089595A"/>
    <w:rsid w:val="008E0E0E"/>
    <w:rsid w:val="008E18D5"/>
    <w:rsid w:val="008F5194"/>
    <w:rsid w:val="009024AF"/>
    <w:rsid w:val="00910569"/>
    <w:rsid w:val="00927915"/>
    <w:rsid w:val="00932111"/>
    <w:rsid w:val="009337A4"/>
    <w:rsid w:val="00984066"/>
    <w:rsid w:val="0099165F"/>
    <w:rsid w:val="00993503"/>
    <w:rsid w:val="00993533"/>
    <w:rsid w:val="009A65A8"/>
    <w:rsid w:val="009A7DB7"/>
    <w:rsid w:val="009B0AAB"/>
    <w:rsid w:val="009E2203"/>
    <w:rsid w:val="00A02624"/>
    <w:rsid w:val="00A124F7"/>
    <w:rsid w:val="00A13D75"/>
    <w:rsid w:val="00A14740"/>
    <w:rsid w:val="00A343DB"/>
    <w:rsid w:val="00A37531"/>
    <w:rsid w:val="00A37DB0"/>
    <w:rsid w:val="00A4793A"/>
    <w:rsid w:val="00A507C7"/>
    <w:rsid w:val="00A7360C"/>
    <w:rsid w:val="00AC70B6"/>
    <w:rsid w:val="00AD0E58"/>
    <w:rsid w:val="00AD5040"/>
    <w:rsid w:val="00AE4A52"/>
    <w:rsid w:val="00AF26F1"/>
    <w:rsid w:val="00B0717A"/>
    <w:rsid w:val="00B50859"/>
    <w:rsid w:val="00B7386C"/>
    <w:rsid w:val="00B7598C"/>
    <w:rsid w:val="00B9510F"/>
    <w:rsid w:val="00BA257F"/>
    <w:rsid w:val="00BB4213"/>
    <w:rsid w:val="00BB47B9"/>
    <w:rsid w:val="00BD7FDD"/>
    <w:rsid w:val="00BE2B24"/>
    <w:rsid w:val="00BE741E"/>
    <w:rsid w:val="00C233D6"/>
    <w:rsid w:val="00C3650F"/>
    <w:rsid w:val="00C574D6"/>
    <w:rsid w:val="00C62EA1"/>
    <w:rsid w:val="00C84559"/>
    <w:rsid w:val="00CA622B"/>
    <w:rsid w:val="00CB764D"/>
    <w:rsid w:val="00CC29D5"/>
    <w:rsid w:val="00CE00D8"/>
    <w:rsid w:val="00D01C4C"/>
    <w:rsid w:val="00D04A95"/>
    <w:rsid w:val="00D3423E"/>
    <w:rsid w:val="00D65945"/>
    <w:rsid w:val="00DA7AFE"/>
    <w:rsid w:val="00DB0C88"/>
    <w:rsid w:val="00DB5F01"/>
    <w:rsid w:val="00DB761E"/>
    <w:rsid w:val="00DD08AF"/>
    <w:rsid w:val="00DD282C"/>
    <w:rsid w:val="00DD505B"/>
    <w:rsid w:val="00DE0701"/>
    <w:rsid w:val="00DE44E2"/>
    <w:rsid w:val="00DF6FAA"/>
    <w:rsid w:val="00E03BD2"/>
    <w:rsid w:val="00E05B91"/>
    <w:rsid w:val="00E07A85"/>
    <w:rsid w:val="00E27FCF"/>
    <w:rsid w:val="00E407C7"/>
    <w:rsid w:val="00E6705C"/>
    <w:rsid w:val="00E743B7"/>
    <w:rsid w:val="00E7596F"/>
    <w:rsid w:val="00E81258"/>
    <w:rsid w:val="00EA00A6"/>
    <w:rsid w:val="00EB1DF2"/>
    <w:rsid w:val="00ED704E"/>
    <w:rsid w:val="00EF033D"/>
    <w:rsid w:val="00EF05CF"/>
    <w:rsid w:val="00F04095"/>
    <w:rsid w:val="00F12286"/>
    <w:rsid w:val="00F27AA2"/>
    <w:rsid w:val="00F36BCB"/>
    <w:rsid w:val="00F44C92"/>
    <w:rsid w:val="00F522E3"/>
    <w:rsid w:val="00F5442F"/>
    <w:rsid w:val="00F54913"/>
    <w:rsid w:val="00F75ACE"/>
    <w:rsid w:val="00F815A6"/>
    <w:rsid w:val="00F86A9C"/>
    <w:rsid w:val="00F97DCD"/>
    <w:rsid w:val="00FB7FC7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9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2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-staro.vef.unizg.hr/opce/dok/z_o_znanstvenoj_djelatnosti_123_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Windows User</cp:lastModifiedBy>
  <cp:revision>2</cp:revision>
  <dcterms:created xsi:type="dcterms:W3CDTF">2023-01-25T14:22:00Z</dcterms:created>
  <dcterms:modified xsi:type="dcterms:W3CDTF">2023-01-25T14:22:00Z</dcterms:modified>
</cp:coreProperties>
</file>