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CF" w:rsidRPr="00927915" w:rsidRDefault="00EF05CF" w:rsidP="00CA622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 xml:space="preserve">Privitak 3. Obrazac obrazloženja </w:t>
      </w:r>
      <w:r w:rsidR="009A7DB7" w:rsidRPr="00927915">
        <w:rPr>
          <w:rFonts w:ascii="Times New Roman" w:hAnsi="Times New Roman" w:cs="Times New Roman"/>
          <w:sz w:val="24"/>
          <w:szCs w:val="24"/>
        </w:rPr>
        <w:t xml:space="preserve">Posebnog dijela </w:t>
      </w:r>
      <w:r w:rsidRPr="00927915">
        <w:rPr>
          <w:rFonts w:ascii="Times New Roman" w:hAnsi="Times New Roman" w:cs="Times New Roman"/>
          <w:sz w:val="24"/>
          <w:szCs w:val="24"/>
        </w:rPr>
        <w:t>financijskog plana</w:t>
      </w:r>
      <w:r w:rsidR="003A6FFF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2328B0">
        <w:rPr>
          <w:rFonts w:ascii="Times New Roman" w:hAnsi="Times New Roman" w:cs="Times New Roman"/>
          <w:sz w:val="24"/>
          <w:szCs w:val="24"/>
        </w:rPr>
        <w:t>2024. – 2026</w:t>
      </w:r>
      <w:r w:rsidR="009A7DB7" w:rsidRPr="00927915">
        <w:rPr>
          <w:rFonts w:ascii="Times New Roman" w:hAnsi="Times New Roman" w:cs="Times New Roman"/>
          <w:sz w:val="24"/>
          <w:szCs w:val="24"/>
        </w:rPr>
        <w:t xml:space="preserve">. </w:t>
      </w:r>
      <w:r w:rsidR="00CE00D8" w:rsidRPr="00927915">
        <w:rPr>
          <w:rFonts w:ascii="Times New Roman" w:hAnsi="Times New Roman" w:cs="Times New Roman"/>
          <w:sz w:val="24"/>
          <w:szCs w:val="24"/>
        </w:rPr>
        <w:t>SVEUČILIŠTE U ZAGREBU VETERINARSKI FAKULTET</w:t>
      </w:r>
    </w:p>
    <w:p w:rsidR="00EF05CF" w:rsidRPr="00927915" w:rsidRDefault="00EF05CF" w:rsidP="00CA622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Sažetak djelokruga rada proračunskog korisnika</w:t>
      </w:r>
    </w:p>
    <w:p w:rsidR="00191DDC" w:rsidRPr="00927915" w:rsidRDefault="00191DDC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27915">
        <w:rPr>
          <w:rFonts w:ascii="Times New Roman" w:hAnsi="Times New Roman" w:cs="Times New Roman"/>
          <w:sz w:val="24"/>
          <w:szCs w:val="24"/>
          <w:lang w:val="pl-PL"/>
        </w:rPr>
        <w:t>Veterinarski fakultet Sveučilišta u Zagrebu javno je visoko učilište koje ustrojava i izvodi sveučilišne studije te provodi znanstveni i visokostručni rad u području biomedicine i zdravstva, polju veterinarske medicine te ostalim srodnim područjima, kao i programe cjeloživotnog obrazovanja doktora veterinarske medicine. Tijekom</w:t>
      </w:r>
      <w:r w:rsidR="00E407C7" w:rsidRPr="00927915">
        <w:rPr>
          <w:rFonts w:ascii="Times New Roman" w:hAnsi="Times New Roman" w:cs="Times New Roman"/>
          <w:sz w:val="24"/>
          <w:szCs w:val="24"/>
          <w:lang w:val="pl-PL"/>
        </w:rPr>
        <w:t xml:space="preserve"> svojega stoljetnog postojanja Fakultet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 xml:space="preserve"> obavlja osnovnu obrazovno-znanstvenu funkciju u području veterinarske medicine. Sveučilišni diplomski studij danas se izvodi kao integrirani preddiplomski i diplomski studij veterinarske medicine i traje šest godina. Osim studija na hrvatskom jeziku, izvodi se i integrirani studij veterinarske medicine na engleskom jeziku. Na Veterinarskom se fakultetu izvodi i poslijediplomski sveučilišni doktorski studij Veterinarske znanosti, koji je 2017. godine od Agencije za znanost i visoko obrazovanje dobio oznaku visoke razine kvalitete, te brojni poslijediplomski specijalistički studiji. </w:t>
      </w:r>
    </w:p>
    <w:p w:rsidR="00EB3F28" w:rsidRPr="00EB3F28" w:rsidRDefault="006C65A8" w:rsidP="00EB3F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Ak. god. 2022./2023</w:t>
      </w:r>
      <w:r w:rsidR="00191DDC" w:rsidRPr="00927915">
        <w:rPr>
          <w:rFonts w:ascii="Times New Roman" w:hAnsi="Times New Roman" w:cs="Times New Roman"/>
          <w:sz w:val="24"/>
          <w:szCs w:val="24"/>
          <w:lang w:val="pl-PL"/>
        </w:rPr>
        <w:t xml:space="preserve">. u prvu studijsku godinu Integriranog preddiplomskog i diplomskog sveučilišnog studija veterinarske </w:t>
      </w:r>
      <w:r w:rsidR="001C0B26" w:rsidRPr="00927915">
        <w:rPr>
          <w:rFonts w:ascii="Times New Roman" w:hAnsi="Times New Roman" w:cs="Times New Roman"/>
          <w:sz w:val="24"/>
          <w:szCs w:val="24"/>
          <w:lang w:val="pl-PL"/>
        </w:rPr>
        <w:t xml:space="preserve">medicine na hrvatskom jeziku </w:t>
      </w:r>
      <w:r w:rsidR="00191DDC" w:rsidRPr="00927915">
        <w:rPr>
          <w:rFonts w:ascii="Times New Roman" w:hAnsi="Times New Roman" w:cs="Times New Roman"/>
          <w:sz w:val="24"/>
          <w:szCs w:val="24"/>
          <w:lang w:val="pl-PL"/>
        </w:rPr>
        <w:t>upisano</w:t>
      </w:r>
      <w:r w:rsidR="001C0B26" w:rsidRPr="00927915">
        <w:rPr>
          <w:rFonts w:ascii="Times New Roman" w:hAnsi="Times New Roman" w:cs="Times New Roman"/>
          <w:sz w:val="24"/>
          <w:szCs w:val="24"/>
          <w:lang w:val="pl-PL"/>
        </w:rPr>
        <w:t xml:space="preserve"> je</w:t>
      </w:r>
      <w:r w:rsidR="00191DDC" w:rsidRPr="00927915">
        <w:rPr>
          <w:rFonts w:ascii="Times New Roman" w:hAnsi="Times New Roman" w:cs="Times New Roman"/>
          <w:sz w:val="24"/>
          <w:szCs w:val="24"/>
          <w:lang w:val="pl-PL"/>
        </w:rPr>
        <w:t xml:space="preserve"> 135 studenata, čime je u potpunosti popunjena upisna kvota. Nastavu je </w:t>
      </w:r>
      <w:r>
        <w:rPr>
          <w:rFonts w:ascii="Times New Roman" w:hAnsi="Times New Roman" w:cs="Times New Roman"/>
          <w:sz w:val="24"/>
          <w:szCs w:val="24"/>
          <w:lang w:val="pl-PL"/>
        </w:rPr>
        <w:t>ukupno pohađalo 785 studenta, 67</w:t>
      </w:r>
      <w:r w:rsidR="00191DDC" w:rsidRPr="00927915">
        <w:rPr>
          <w:rFonts w:ascii="Times New Roman" w:hAnsi="Times New Roman" w:cs="Times New Roman"/>
          <w:sz w:val="24"/>
          <w:szCs w:val="24"/>
          <w:lang w:val="pl-PL"/>
        </w:rPr>
        <w:t xml:space="preserve"> studenta upisalo je aposlventski </w:t>
      </w:r>
      <w:r>
        <w:rPr>
          <w:rFonts w:ascii="Times New Roman" w:hAnsi="Times New Roman" w:cs="Times New Roman"/>
          <w:sz w:val="24"/>
          <w:szCs w:val="24"/>
          <w:lang w:val="pl-PL"/>
        </w:rPr>
        <w:t>status. Studij je završio 51</w:t>
      </w:r>
      <w:r w:rsidR="00191DDC" w:rsidRPr="00927915">
        <w:rPr>
          <w:rFonts w:ascii="Times New Roman" w:hAnsi="Times New Roman" w:cs="Times New Roman"/>
          <w:sz w:val="24"/>
          <w:szCs w:val="24"/>
          <w:lang w:val="pl-PL"/>
        </w:rPr>
        <w:t xml:space="preserve"> doktora veterinarske med</w:t>
      </w:r>
      <w:r>
        <w:rPr>
          <w:rFonts w:ascii="Times New Roman" w:hAnsi="Times New Roman" w:cs="Times New Roman"/>
          <w:sz w:val="24"/>
          <w:szCs w:val="24"/>
          <w:lang w:val="pl-PL"/>
        </w:rPr>
        <w:t>icine s prosječnom ocjenom 4.021</w:t>
      </w:r>
      <w:r w:rsidR="00191DDC" w:rsidRPr="00927915">
        <w:rPr>
          <w:rFonts w:ascii="Times New Roman" w:hAnsi="Times New Roman" w:cs="Times New Roman"/>
          <w:sz w:val="24"/>
          <w:szCs w:val="24"/>
          <w:lang w:val="pl-PL"/>
        </w:rPr>
        <w:t>. Veterinarski fakultet Sveučiliš</w:t>
      </w:r>
      <w:r w:rsidR="00D9631B">
        <w:rPr>
          <w:rFonts w:ascii="Times New Roman" w:hAnsi="Times New Roman" w:cs="Times New Roman"/>
          <w:sz w:val="24"/>
          <w:szCs w:val="24"/>
          <w:lang w:val="pl-PL"/>
        </w:rPr>
        <w:t>ta u Zagrebu proveo je upis sedme</w:t>
      </w:r>
      <w:r w:rsidR="00191DDC" w:rsidRPr="00927915">
        <w:rPr>
          <w:rFonts w:ascii="Times New Roman" w:hAnsi="Times New Roman" w:cs="Times New Roman"/>
          <w:sz w:val="24"/>
          <w:szCs w:val="24"/>
          <w:lang w:val="pl-PL"/>
        </w:rPr>
        <w:t xml:space="preserve"> generacije studenata u program Integriranog preddiplomskog i diplomskog sveučilišnog studija veterinarske medicine na engleskom jeziku. </w:t>
      </w:r>
      <w:r w:rsidR="001C0B26" w:rsidRPr="00927915">
        <w:rPr>
          <w:rFonts w:ascii="Times New Roman" w:hAnsi="Times New Roman" w:cs="Times New Roman"/>
          <w:sz w:val="24"/>
          <w:szCs w:val="24"/>
          <w:lang w:val="pl-PL"/>
        </w:rPr>
        <w:t>Ukupno je na engleskom studiju u a</w:t>
      </w:r>
      <w:r w:rsidR="008860EE" w:rsidRPr="00927915">
        <w:rPr>
          <w:rFonts w:ascii="Times New Roman" w:hAnsi="Times New Roman" w:cs="Times New Roman"/>
          <w:sz w:val="24"/>
          <w:szCs w:val="24"/>
          <w:lang w:val="pl-PL"/>
        </w:rPr>
        <w:t>k</w:t>
      </w:r>
      <w:r w:rsidR="001C0B26" w:rsidRPr="00927915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E407C7" w:rsidRPr="00927915">
        <w:rPr>
          <w:rFonts w:ascii="Times New Roman" w:hAnsi="Times New Roman" w:cs="Times New Roman"/>
          <w:sz w:val="24"/>
          <w:szCs w:val="24"/>
          <w:lang w:val="pl-PL"/>
        </w:rPr>
        <w:t>g</w:t>
      </w:r>
      <w:r>
        <w:rPr>
          <w:rFonts w:ascii="Times New Roman" w:hAnsi="Times New Roman" w:cs="Times New Roman"/>
          <w:sz w:val="24"/>
          <w:szCs w:val="24"/>
          <w:lang w:val="pl-PL"/>
        </w:rPr>
        <w:t>od. 2022./2023. studiralo 153 studenta iz 33</w:t>
      </w:r>
      <w:r w:rsidR="001C0B26" w:rsidRPr="00927915">
        <w:rPr>
          <w:rFonts w:ascii="Times New Roman" w:hAnsi="Times New Roman" w:cs="Times New Roman"/>
          <w:sz w:val="24"/>
          <w:szCs w:val="24"/>
          <w:lang w:val="pl-PL"/>
        </w:rPr>
        <w:t xml:space="preserve"> zemalja svijeta.</w:t>
      </w:r>
      <w:r w:rsidR="00490AC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B3F28" w:rsidRPr="00EB3F28">
        <w:rPr>
          <w:rFonts w:ascii="Times New Roman" w:hAnsi="Times New Roman" w:cs="Times New Roman"/>
          <w:sz w:val="24"/>
          <w:szCs w:val="24"/>
        </w:rPr>
        <w:t>Ukupno su 53 institucije bile uključene u provedbu terenske nastave iz pojedinih redovnih i izbornih predmeta Integriranog preddiplomskog i diplomskog sveučilišnog studija veterinarske medicine na hrvatskom jeziku te dodatno 14 veterinarskih stanica i ambulanti koje su sudjelovale u organizaciji terenske nastave.</w:t>
      </w:r>
      <w:r w:rsidR="00EB3F2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CE41EF">
        <w:rPr>
          <w:rFonts w:ascii="Times New Roman" w:hAnsi="Times New Roman" w:cs="Times New Roman"/>
          <w:sz w:val="24"/>
          <w:szCs w:val="24"/>
        </w:rPr>
        <w:t xml:space="preserve">Tijekom protekle akademske godine </w:t>
      </w:r>
      <w:r w:rsidR="00EB3F28" w:rsidRPr="00EB3F28">
        <w:rPr>
          <w:rFonts w:ascii="Times New Roman" w:hAnsi="Times New Roman" w:cs="Times New Roman"/>
          <w:sz w:val="24"/>
          <w:szCs w:val="24"/>
        </w:rPr>
        <w:t>brojni su demonstratori pomagali nastavnicima i suradnicima u izvođenju praktičnog dijela nastave na studiju veterinarske medicine na hrvatskom jeziku i engleskom jeziku.</w:t>
      </w:r>
      <w:r w:rsidR="00EB3F2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B3F28" w:rsidRPr="00EB3F28">
        <w:rPr>
          <w:rFonts w:ascii="Times New Roman" w:hAnsi="Times New Roman" w:cs="Times New Roman"/>
          <w:sz w:val="24"/>
          <w:szCs w:val="24"/>
        </w:rPr>
        <w:t>U prvi semestar doktorskog studija Veterinars</w:t>
      </w:r>
      <w:r w:rsidR="00295451">
        <w:rPr>
          <w:rFonts w:ascii="Times New Roman" w:hAnsi="Times New Roman" w:cs="Times New Roman"/>
          <w:sz w:val="24"/>
          <w:szCs w:val="24"/>
        </w:rPr>
        <w:t>ke znanosti upisano je ukupno 13</w:t>
      </w:r>
      <w:r w:rsidR="00EB3F28" w:rsidRPr="00EB3F28">
        <w:rPr>
          <w:rFonts w:ascii="Times New Roman" w:hAnsi="Times New Roman" w:cs="Times New Roman"/>
          <w:sz w:val="24"/>
          <w:szCs w:val="24"/>
        </w:rPr>
        <w:t xml:space="preserve"> doktoranda. Trenut</w:t>
      </w:r>
      <w:r w:rsidR="00295451">
        <w:rPr>
          <w:rFonts w:ascii="Times New Roman" w:hAnsi="Times New Roman" w:cs="Times New Roman"/>
          <w:sz w:val="24"/>
          <w:szCs w:val="24"/>
        </w:rPr>
        <w:t>no, na studiju ukupno studira 67</w:t>
      </w:r>
      <w:r w:rsidR="00EB3F28" w:rsidRPr="00EB3F28">
        <w:rPr>
          <w:rFonts w:ascii="Times New Roman" w:hAnsi="Times New Roman" w:cs="Times New Roman"/>
          <w:sz w:val="24"/>
          <w:szCs w:val="24"/>
        </w:rPr>
        <w:t xml:space="preserve"> doktorskih kandidata.</w:t>
      </w:r>
      <w:r w:rsidR="00EB3F2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295451">
        <w:rPr>
          <w:rFonts w:ascii="Times New Roman" w:hAnsi="Times New Roman" w:cs="Times New Roman"/>
          <w:sz w:val="24"/>
          <w:szCs w:val="24"/>
        </w:rPr>
        <w:t>Ak. god. 2022./2023</w:t>
      </w:r>
      <w:r w:rsidR="00EB3F28" w:rsidRPr="00EB3F28">
        <w:rPr>
          <w:rFonts w:ascii="Times New Roman" w:hAnsi="Times New Roman" w:cs="Times New Roman"/>
          <w:sz w:val="24"/>
          <w:szCs w:val="24"/>
        </w:rPr>
        <w:t>., p</w:t>
      </w:r>
      <w:r w:rsidR="00295451">
        <w:rPr>
          <w:rFonts w:ascii="Times New Roman" w:hAnsi="Times New Roman" w:cs="Times New Roman"/>
          <w:sz w:val="24"/>
          <w:szCs w:val="24"/>
        </w:rPr>
        <w:t>rvu godinu studija upisalo je 17</w:t>
      </w:r>
      <w:r w:rsidR="00EB3F28" w:rsidRPr="00EB3F28">
        <w:rPr>
          <w:rFonts w:ascii="Times New Roman" w:hAnsi="Times New Roman" w:cs="Times New Roman"/>
          <w:sz w:val="24"/>
          <w:szCs w:val="24"/>
        </w:rPr>
        <w:t xml:space="preserve"> kandidata iz četiri smjera poslijediplomskih specijalističkih studija. Na poslijediplomskim specijalisti</w:t>
      </w:r>
      <w:r w:rsidR="00295451">
        <w:rPr>
          <w:rFonts w:ascii="Times New Roman" w:hAnsi="Times New Roman" w:cs="Times New Roman"/>
          <w:sz w:val="24"/>
          <w:szCs w:val="24"/>
        </w:rPr>
        <w:t>čkim studijima ukupno studira 70</w:t>
      </w:r>
      <w:r w:rsidR="00EB3F28" w:rsidRPr="00EB3F28">
        <w:rPr>
          <w:rFonts w:ascii="Times New Roman" w:hAnsi="Times New Roman" w:cs="Times New Roman"/>
          <w:sz w:val="24"/>
          <w:szCs w:val="24"/>
        </w:rPr>
        <w:t xml:space="preserve"> studenata.</w:t>
      </w:r>
    </w:p>
    <w:p w:rsidR="00EB3F28" w:rsidRDefault="00EB3F28" w:rsidP="00EB3F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F28">
        <w:rPr>
          <w:rFonts w:ascii="Times New Roman" w:hAnsi="Times New Roman" w:cs="Times New Roman"/>
          <w:sz w:val="24"/>
          <w:szCs w:val="24"/>
        </w:rPr>
        <w:lastRenderedPageBreak/>
        <w:t>Veterinarski fakultet je i ove godine u suradnji s Hrvatskom veterinarskom komorom organizirao tečajeve cjeloživotnoga učenja, koji su uvjet za produljenje licence za obavljanje veterinarske djelatnosti. Pored ovih tečajeva, Fakultet provodi i tečajeve za stručno osposobljavanje na osnovi rješenja nadležnih institucija, poput Ministarstva poljoprivrede.</w:t>
      </w:r>
    </w:p>
    <w:p w:rsidR="00E743B7" w:rsidRPr="00927915" w:rsidRDefault="003411A8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Uslijed</w:t>
      </w:r>
      <w:r w:rsidR="00E407C7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E743B7" w:rsidRPr="00927915">
        <w:rPr>
          <w:rFonts w:ascii="Times New Roman" w:hAnsi="Times New Roman" w:cs="Times New Roman"/>
          <w:sz w:val="24"/>
          <w:szCs w:val="24"/>
        </w:rPr>
        <w:t xml:space="preserve">specifičnosti </w:t>
      </w:r>
      <w:r>
        <w:rPr>
          <w:rFonts w:ascii="Times New Roman" w:hAnsi="Times New Roman" w:cs="Times New Roman"/>
          <w:sz w:val="24"/>
          <w:szCs w:val="24"/>
        </w:rPr>
        <w:t xml:space="preserve">rada, </w:t>
      </w:r>
      <w:r w:rsidR="00E743B7" w:rsidRPr="00927915">
        <w:rPr>
          <w:rFonts w:ascii="Times New Roman" w:hAnsi="Times New Roman" w:cs="Times New Roman"/>
          <w:sz w:val="24"/>
          <w:szCs w:val="24"/>
        </w:rPr>
        <w:t xml:space="preserve">a to je prvenstveno održavanje praktičnog djela nastave na vlastitim klinikama Fakulteta koje rade od 0-24 sata, logični su nešto viši izdaci za pokriće troškova poslovanja i nešto viši postotak nenastavnog osoblja  u </w:t>
      </w:r>
      <w:r w:rsidR="00E407C7" w:rsidRPr="00927915">
        <w:rPr>
          <w:rFonts w:ascii="Times New Roman" w:hAnsi="Times New Roman" w:cs="Times New Roman"/>
          <w:sz w:val="24"/>
          <w:szCs w:val="24"/>
        </w:rPr>
        <w:t>odnosu na sveukupno zaposlene</w:t>
      </w:r>
      <w:r w:rsidR="00E743B7" w:rsidRPr="00927915">
        <w:rPr>
          <w:rFonts w:ascii="Times New Roman" w:hAnsi="Times New Roman" w:cs="Times New Roman"/>
          <w:sz w:val="24"/>
          <w:szCs w:val="24"/>
        </w:rPr>
        <w:t xml:space="preserve">. </w:t>
      </w:r>
      <w:r w:rsidR="009D6D0A">
        <w:rPr>
          <w:rFonts w:ascii="Times New Roman" w:hAnsi="Times New Roman" w:cs="Times New Roman"/>
          <w:sz w:val="24"/>
          <w:szCs w:val="24"/>
        </w:rPr>
        <w:t>N</w:t>
      </w:r>
      <w:r w:rsidR="00E743B7" w:rsidRPr="00927915">
        <w:rPr>
          <w:rFonts w:ascii="Times New Roman" w:hAnsi="Times New Roman" w:cs="Times New Roman"/>
          <w:sz w:val="24"/>
          <w:szCs w:val="24"/>
        </w:rPr>
        <w:t>a klinikama Fakulteta smještene su životinje za nastavu kao i osigurani prostori za prijem bolesnih životinja koje ujedno čine i nastavni poligon za studente od VI semestr</w:t>
      </w:r>
      <w:r w:rsidR="00E407C7" w:rsidRPr="00927915">
        <w:rPr>
          <w:rFonts w:ascii="Times New Roman" w:hAnsi="Times New Roman" w:cs="Times New Roman"/>
          <w:sz w:val="24"/>
          <w:szCs w:val="24"/>
        </w:rPr>
        <w:t xml:space="preserve">a pa do završnog XII semestra. </w:t>
      </w:r>
      <w:r w:rsidR="00E743B7" w:rsidRPr="00927915">
        <w:rPr>
          <w:rFonts w:ascii="Times New Roman" w:hAnsi="Times New Roman" w:cs="Times New Roman"/>
          <w:sz w:val="24"/>
          <w:szCs w:val="24"/>
        </w:rPr>
        <w:t>Ovakav način nastavnog programa iziskuje i veći broj  tehničkog i pomoćnog osoblja (veterinarski tehničari, veterinarski bolničar</w:t>
      </w:r>
      <w:r w:rsidR="009D6D0A">
        <w:rPr>
          <w:rFonts w:ascii="Times New Roman" w:hAnsi="Times New Roman" w:cs="Times New Roman"/>
          <w:sz w:val="24"/>
          <w:szCs w:val="24"/>
        </w:rPr>
        <w:t xml:space="preserve">i, pomoćni tehnički suradnici) </w:t>
      </w:r>
      <w:r w:rsidR="00E743B7" w:rsidRPr="00927915">
        <w:rPr>
          <w:rFonts w:ascii="Times New Roman" w:hAnsi="Times New Roman" w:cs="Times New Roman"/>
          <w:sz w:val="24"/>
          <w:szCs w:val="24"/>
        </w:rPr>
        <w:t>koje je zaduženo za održavanje klinika, brigu i prehranu smještenih životinja kao i pomoć i pripremu nastave u specijalističkim ambulantama i kirurškim operacijskim salama. Pored kliničkih prostora u nastavi se koriste  i praktikumi te laboratoriji od kojih su neki akreditirani i obavljaju osim nastavne i znanstvene i stručnu djelatnost na tržištu te doprinose vlastitim prihodima fakulteta, a za koje se kroz ulaganja u prostor, opremu i kadrove nastoje osuvremeniti uvjeti rada i to najvećim djelom ulaganja vlastitih prihoda, jer se iz odobrenih proračunskih sredstava za investicijsko održavanje i ulaganje ovako veliki prostor ne može održavati niti u 10% nužno potrebnih popravaka i nabavke nove opreme</w:t>
      </w:r>
      <w:r w:rsidR="00E407C7" w:rsidRPr="00927915">
        <w:rPr>
          <w:rFonts w:ascii="Times New Roman" w:hAnsi="Times New Roman" w:cs="Times New Roman"/>
          <w:sz w:val="24"/>
          <w:szCs w:val="24"/>
        </w:rPr>
        <w:t>.</w:t>
      </w:r>
    </w:p>
    <w:p w:rsidR="00F04095" w:rsidRPr="00927915" w:rsidRDefault="00E743B7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27915">
        <w:rPr>
          <w:rFonts w:ascii="Times New Roman" w:hAnsi="Times New Roman" w:cs="Times New Roman"/>
          <w:sz w:val="24"/>
          <w:szCs w:val="24"/>
          <w:lang w:val="pl-PL"/>
        </w:rPr>
        <w:t>Temeljna pretpostavka strateškog razvoja fakulteta je postati u potpunosti kompatibilnim s europskim standardima kvalitete veterinarskih fakulteta, a ujedno i postati vodeći veterinarski fakultet u regiji s razvijenim potencijalom transfera znanja i tehnologija na susjedne zemlje u regiji koje jesu ili će uskoro postati kandidatkinje za pristup EU.</w:t>
      </w:r>
    </w:p>
    <w:p w:rsidR="00927915" w:rsidRPr="00927915" w:rsidRDefault="00927915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F815A6" w:rsidRPr="00927915" w:rsidRDefault="00846CD9" w:rsidP="00CA622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A621001 Redovna djelatnost Sveučilišta u Zagrebu</w:t>
      </w:r>
    </w:p>
    <w:p w:rsidR="00F04095" w:rsidRPr="00927915" w:rsidRDefault="00846CD9" w:rsidP="00CA622B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927915">
        <w:rPr>
          <w:rFonts w:ascii="Times New Roman" w:hAnsi="Times New Roman" w:cs="Times New Roman"/>
          <w:sz w:val="24"/>
          <w:szCs w:val="24"/>
          <w:lang w:val="pl-PL"/>
        </w:rPr>
        <w:t>Zakonske i druge pravne osnove</w:t>
      </w:r>
    </w:p>
    <w:p w:rsidR="00494E91" w:rsidRPr="00927915" w:rsidRDefault="007C43F1" w:rsidP="00351CDA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7" w:tgtFrame="_blank" w:history="1">
        <w:r w:rsidR="00494E91" w:rsidRPr="00927915">
          <w:rPr>
            <w:rFonts w:ascii="Times New Roman" w:hAnsi="Times New Roman" w:cs="Times New Roman"/>
            <w:color w:val="000000"/>
            <w:sz w:val="24"/>
            <w:szCs w:val="24"/>
          </w:rPr>
          <w:t>Zakon</w:t>
        </w:r>
      </w:hyperlink>
      <w:r w:rsidR="00494E91" w:rsidRPr="00927915">
        <w:rPr>
          <w:rFonts w:ascii="Times New Roman" w:hAnsi="Times New Roman" w:cs="Times New Roman"/>
          <w:color w:val="000000"/>
          <w:sz w:val="24"/>
          <w:szCs w:val="24"/>
        </w:rPr>
        <w:t xml:space="preserve"> o znanstvenoj djelatnosti i visokom obrazovanju</w:t>
      </w:r>
    </w:p>
    <w:p w:rsidR="00494E91" w:rsidRPr="00927915" w:rsidRDefault="00494E91" w:rsidP="00494E9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7915">
        <w:rPr>
          <w:rFonts w:ascii="Times New Roman" w:hAnsi="Times New Roman" w:cs="Times New Roman"/>
          <w:color w:val="000000"/>
          <w:sz w:val="24"/>
          <w:szCs w:val="24"/>
        </w:rPr>
        <w:t>Zakon o proračunu</w:t>
      </w:r>
    </w:p>
    <w:p w:rsidR="00494E91" w:rsidRPr="00927915" w:rsidRDefault="00494E91" w:rsidP="00494E91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Zakon o fiskalnoj odgovornosti</w:t>
      </w:r>
    </w:p>
    <w:p w:rsidR="00F815A6" w:rsidRPr="007D0622" w:rsidRDefault="00494E91" w:rsidP="007D0622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Uputa za izradu prijedloga fina</w:t>
      </w:r>
      <w:r w:rsidR="00FB7FC7">
        <w:rPr>
          <w:rFonts w:ascii="Times New Roman" w:hAnsi="Times New Roman" w:cs="Times New Roman"/>
          <w:sz w:val="24"/>
          <w:szCs w:val="24"/>
        </w:rPr>
        <w:t>ncijskog plana za razdoblje 2023</w:t>
      </w:r>
      <w:r w:rsidRPr="00927915">
        <w:rPr>
          <w:rFonts w:ascii="Times New Roman" w:hAnsi="Times New Roman" w:cs="Times New Roman"/>
          <w:sz w:val="24"/>
          <w:szCs w:val="24"/>
        </w:rPr>
        <w:t>. – 2025. godine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84"/>
        <w:gridCol w:w="1230"/>
        <w:gridCol w:w="1231"/>
        <w:gridCol w:w="1296"/>
        <w:gridCol w:w="1296"/>
        <w:gridCol w:w="1296"/>
        <w:gridCol w:w="1129"/>
      </w:tblGrid>
      <w:tr w:rsidR="002015A8" w:rsidRPr="00927915" w:rsidTr="002B49F1">
        <w:tc>
          <w:tcPr>
            <w:tcW w:w="1677" w:type="dxa"/>
            <w:shd w:val="clear" w:color="auto" w:fill="D0CECE" w:themeFill="background2" w:themeFillShade="E6"/>
          </w:tcPr>
          <w:p w:rsidR="00494E91" w:rsidRPr="00927915" w:rsidRDefault="00494E91" w:rsidP="00494E9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E91" w:rsidRPr="00927915" w:rsidRDefault="00494E91" w:rsidP="00494E9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D0CECE" w:themeFill="background2" w:themeFillShade="E6"/>
            <w:vAlign w:val="center"/>
          </w:tcPr>
          <w:p w:rsidR="00494E91" w:rsidRPr="00927915" w:rsidRDefault="002328B0" w:rsidP="00494E9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2022</w:t>
            </w:r>
            <w:r w:rsidR="00494E91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494E91" w:rsidRPr="00927915" w:rsidRDefault="002328B0" w:rsidP="00494E9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2023</w:t>
            </w:r>
            <w:r w:rsidR="00494E91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494E91" w:rsidRPr="00927915" w:rsidRDefault="002328B0" w:rsidP="00494E9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2024</w:t>
            </w:r>
            <w:r w:rsidR="00494E91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  <w:shd w:val="clear" w:color="auto" w:fill="D0CECE" w:themeFill="background2" w:themeFillShade="E6"/>
            <w:vAlign w:val="center"/>
          </w:tcPr>
          <w:p w:rsidR="00494E91" w:rsidRPr="00927915" w:rsidRDefault="002328B0" w:rsidP="00494E9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2025</w:t>
            </w:r>
            <w:r w:rsidR="00494E91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dxa"/>
            <w:shd w:val="clear" w:color="auto" w:fill="D0CECE" w:themeFill="background2" w:themeFillShade="E6"/>
            <w:vAlign w:val="center"/>
          </w:tcPr>
          <w:p w:rsidR="00494E91" w:rsidRPr="00927915" w:rsidRDefault="002328B0" w:rsidP="00494E9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2026</w:t>
            </w:r>
            <w:r w:rsidR="00494E91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7" w:type="dxa"/>
            <w:shd w:val="clear" w:color="auto" w:fill="D0CECE" w:themeFill="background2" w:themeFillShade="E6"/>
            <w:vAlign w:val="center"/>
          </w:tcPr>
          <w:p w:rsidR="00494E91" w:rsidRPr="00927915" w:rsidRDefault="002328B0" w:rsidP="00494E9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 24./23</w:t>
            </w:r>
            <w:r w:rsidR="00494E91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15A8" w:rsidRPr="00927915" w:rsidTr="002B49F1">
        <w:tc>
          <w:tcPr>
            <w:tcW w:w="1677" w:type="dxa"/>
          </w:tcPr>
          <w:p w:rsidR="002B49F1" w:rsidRPr="00927915" w:rsidRDefault="002B49F1" w:rsidP="002B49F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A621001</w:t>
            </w:r>
          </w:p>
        </w:tc>
        <w:tc>
          <w:tcPr>
            <w:tcW w:w="1241" w:type="dxa"/>
          </w:tcPr>
          <w:p w:rsidR="002B49F1" w:rsidRPr="00927915" w:rsidRDefault="002015A8" w:rsidP="002B49F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8.851.494</w:t>
            </w:r>
          </w:p>
        </w:tc>
        <w:tc>
          <w:tcPr>
            <w:tcW w:w="1242" w:type="dxa"/>
          </w:tcPr>
          <w:p w:rsidR="002B49F1" w:rsidRPr="00927915" w:rsidRDefault="002015A8" w:rsidP="002B49F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9.957.363</w:t>
            </w:r>
          </w:p>
        </w:tc>
        <w:tc>
          <w:tcPr>
            <w:tcW w:w="1242" w:type="dxa"/>
          </w:tcPr>
          <w:p w:rsidR="002B49F1" w:rsidRPr="002B49F1" w:rsidRDefault="002015A8" w:rsidP="002B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E76C0">
              <w:rPr>
                <w:rFonts w:ascii="Times New Roman" w:hAnsi="Times New Roman" w:cs="Times New Roman"/>
                <w:sz w:val="24"/>
                <w:szCs w:val="24"/>
              </w:rPr>
              <w:t>717.235</w:t>
            </w:r>
          </w:p>
        </w:tc>
        <w:tc>
          <w:tcPr>
            <w:tcW w:w="1241" w:type="dxa"/>
          </w:tcPr>
          <w:p w:rsidR="002B49F1" w:rsidRPr="002B49F1" w:rsidRDefault="002015A8" w:rsidP="002B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E76C0">
              <w:rPr>
                <w:rFonts w:ascii="Times New Roman" w:hAnsi="Times New Roman" w:cs="Times New Roman"/>
                <w:sz w:val="24"/>
                <w:szCs w:val="24"/>
              </w:rPr>
              <w:t>749.941</w:t>
            </w:r>
          </w:p>
        </w:tc>
        <w:tc>
          <w:tcPr>
            <w:tcW w:w="1242" w:type="dxa"/>
          </w:tcPr>
          <w:p w:rsidR="002B49F1" w:rsidRPr="002B49F1" w:rsidRDefault="002015A8" w:rsidP="002B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E76C0">
              <w:rPr>
                <w:rFonts w:ascii="Times New Roman" w:hAnsi="Times New Roman" w:cs="Times New Roman"/>
                <w:sz w:val="24"/>
                <w:szCs w:val="24"/>
              </w:rPr>
              <w:t>755.811</w:t>
            </w:r>
          </w:p>
        </w:tc>
        <w:tc>
          <w:tcPr>
            <w:tcW w:w="1177" w:type="dxa"/>
          </w:tcPr>
          <w:p w:rsidR="002B49F1" w:rsidRPr="00927915" w:rsidRDefault="00845126" w:rsidP="002B49F1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106,36</w:t>
            </w:r>
          </w:p>
        </w:tc>
      </w:tr>
    </w:tbl>
    <w:p w:rsidR="00F04095" w:rsidRPr="00927915" w:rsidRDefault="00F04095" w:rsidP="00494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046" w:rsidRPr="00927915" w:rsidRDefault="00494E91" w:rsidP="00DF6F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Ova aktivnost sastoji se od sljedećih elemenata/podaktivnosti:</w:t>
      </w:r>
      <w:r w:rsidR="00DF6FAA" w:rsidRPr="00927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046" w:rsidRPr="00927915" w:rsidRDefault="00324046" w:rsidP="0032404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plaće za zaposlene i plaće za posebne uvjete rada</w:t>
      </w:r>
    </w:p>
    <w:p w:rsidR="00324046" w:rsidRPr="00927915" w:rsidRDefault="00324046" w:rsidP="0032404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materijalna prava zaposlenih</w:t>
      </w:r>
      <w:r w:rsidR="00DF6FAA" w:rsidRPr="00927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046" w:rsidRPr="00927915" w:rsidRDefault="00DF6FAA" w:rsidP="0032404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doprinosi</w:t>
      </w:r>
      <w:r w:rsidR="00324046" w:rsidRPr="00927915">
        <w:rPr>
          <w:rFonts w:ascii="Times New Roman" w:hAnsi="Times New Roman" w:cs="Times New Roman"/>
          <w:sz w:val="24"/>
          <w:szCs w:val="24"/>
        </w:rPr>
        <w:t xml:space="preserve"> za zaposlene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046" w:rsidRPr="00927915" w:rsidRDefault="00324046" w:rsidP="0032404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naknada za prijevoz zaposlenika</w:t>
      </w:r>
    </w:p>
    <w:p w:rsidR="00324046" w:rsidRPr="00927915" w:rsidRDefault="00324046" w:rsidP="0032404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sistematski pregledi</w:t>
      </w:r>
      <w:r w:rsidR="00DF6FAA" w:rsidRPr="00927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E91" w:rsidRPr="00927915" w:rsidRDefault="00DF6FAA" w:rsidP="00324046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naknade</w:t>
      </w:r>
      <w:r w:rsidR="00324046" w:rsidRPr="00927915">
        <w:rPr>
          <w:rFonts w:ascii="Times New Roman" w:hAnsi="Times New Roman" w:cs="Times New Roman"/>
          <w:sz w:val="24"/>
          <w:szCs w:val="24"/>
        </w:rPr>
        <w:t xml:space="preserve"> za zapošljavanje invalidnih</w:t>
      </w:r>
      <w:r w:rsidRPr="00927915">
        <w:rPr>
          <w:rFonts w:ascii="Times New Roman" w:hAnsi="Times New Roman" w:cs="Times New Roman"/>
          <w:sz w:val="24"/>
          <w:szCs w:val="24"/>
        </w:rPr>
        <w:t xml:space="preserve"> osoba.</w:t>
      </w:r>
    </w:p>
    <w:p w:rsidR="00494E91" w:rsidRPr="00927915" w:rsidRDefault="00494E91" w:rsidP="00494E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 xml:space="preserve">Planirana sredstva za izvor 11 Opći prihodi i primici pod aktivnošću A621001 Redovna djelatnost Sveučilišta u Zagrebu temelje se na zadanim limitima Sveučilišta u Zagrebu za sastavnice. </w:t>
      </w:r>
      <w:r w:rsidR="00E80613">
        <w:rPr>
          <w:rFonts w:ascii="Times New Roman" w:hAnsi="Times New Roman" w:cs="Times New Roman"/>
          <w:sz w:val="24"/>
          <w:szCs w:val="24"/>
        </w:rPr>
        <w:t>Za 2024</w:t>
      </w:r>
      <w:r w:rsidR="00DF6FAA" w:rsidRPr="00927915">
        <w:rPr>
          <w:rFonts w:ascii="Times New Roman" w:hAnsi="Times New Roman" w:cs="Times New Roman"/>
          <w:sz w:val="24"/>
          <w:szCs w:val="24"/>
        </w:rPr>
        <w:t>. godinu planirani su</w:t>
      </w:r>
      <w:r w:rsidR="007258E1">
        <w:rPr>
          <w:rFonts w:ascii="Times New Roman" w:hAnsi="Times New Roman" w:cs="Times New Roman"/>
          <w:sz w:val="24"/>
          <w:szCs w:val="24"/>
        </w:rPr>
        <w:t xml:space="preserve"> rashodi s povećanjem od </w:t>
      </w:r>
      <w:r w:rsidR="00E80613">
        <w:rPr>
          <w:rFonts w:ascii="Times New Roman" w:hAnsi="Times New Roman" w:cs="Times New Roman"/>
          <w:sz w:val="24"/>
          <w:szCs w:val="24"/>
        </w:rPr>
        <w:t>6,36</w:t>
      </w:r>
      <w:r w:rsidR="00DF6FAA" w:rsidRPr="00927915">
        <w:rPr>
          <w:rFonts w:ascii="Times New Roman" w:hAnsi="Times New Roman" w:cs="Times New Roman"/>
          <w:sz w:val="24"/>
          <w:szCs w:val="24"/>
        </w:rPr>
        <w:t>%</w:t>
      </w:r>
      <w:r w:rsidR="00E80613">
        <w:rPr>
          <w:rFonts w:ascii="Times New Roman" w:hAnsi="Times New Roman" w:cs="Times New Roman"/>
          <w:sz w:val="24"/>
          <w:szCs w:val="24"/>
        </w:rPr>
        <w:t xml:space="preserve"> </w:t>
      </w:r>
      <w:r w:rsidR="00DF6FAA" w:rsidRPr="00927915">
        <w:rPr>
          <w:rFonts w:ascii="Times New Roman" w:hAnsi="Times New Roman" w:cs="Times New Roman"/>
          <w:sz w:val="24"/>
          <w:szCs w:val="24"/>
        </w:rPr>
        <w:t xml:space="preserve"> u odnosu na prethodnu godinu</w:t>
      </w:r>
      <w:r w:rsidR="00E80613">
        <w:rPr>
          <w:rFonts w:ascii="Times New Roman" w:hAnsi="Times New Roman" w:cs="Times New Roman"/>
          <w:sz w:val="24"/>
          <w:szCs w:val="24"/>
        </w:rPr>
        <w:t xml:space="preserve"> za sredstva za plaće zbog napredovanja i navršenih godina staža, a rashodi za materijalne troškove planirani su na razini 2023.</w:t>
      </w:r>
      <w:r w:rsidR="00411B3C">
        <w:rPr>
          <w:rFonts w:ascii="Times New Roman" w:hAnsi="Times New Roman" w:cs="Times New Roman"/>
          <w:sz w:val="24"/>
          <w:szCs w:val="24"/>
        </w:rPr>
        <w:t xml:space="preserve"> g</w:t>
      </w:r>
      <w:r w:rsidR="00E80613">
        <w:rPr>
          <w:rFonts w:ascii="Times New Roman" w:hAnsi="Times New Roman" w:cs="Times New Roman"/>
          <w:sz w:val="24"/>
          <w:szCs w:val="24"/>
        </w:rPr>
        <w:t>. Kod projekcija za 2025.g. i 2026</w:t>
      </w:r>
      <w:r w:rsidR="00DF6FAA" w:rsidRPr="00927915">
        <w:rPr>
          <w:rFonts w:ascii="Times New Roman" w:hAnsi="Times New Roman" w:cs="Times New Roman"/>
          <w:sz w:val="24"/>
          <w:szCs w:val="24"/>
        </w:rPr>
        <w:t>.g. ukupna sredstva redovne</w:t>
      </w:r>
      <w:r w:rsidR="00927915" w:rsidRPr="00927915">
        <w:rPr>
          <w:rFonts w:ascii="Times New Roman" w:hAnsi="Times New Roman" w:cs="Times New Roman"/>
          <w:sz w:val="24"/>
          <w:szCs w:val="24"/>
        </w:rPr>
        <w:t xml:space="preserve"> djelatnosti </w:t>
      </w:r>
      <w:r w:rsidR="002B49F1">
        <w:rPr>
          <w:rFonts w:ascii="Times New Roman" w:hAnsi="Times New Roman" w:cs="Times New Roman"/>
          <w:sz w:val="24"/>
          <w:szCs w:val="24"/>
        </w:rPr>
        <w:t>p</w:t>
      </w:r>
      <w:r w:rsidR="00E80613">
        <w:rPr>
          <w:rFonts w:ascii="Times New Roman" w:hAnsi="Times New Roman" w:cs="Times New Roman"/>
          <w:sz w:val="24"/>
          <w:szCs w:val="24"/>
        </w:rPr>
        <w:t>lanirane su s povećanjem od 0,49</w:t>
      </w:r>
      <w:r w:rsidR="002B49F1">
        <w:rPr>
          <w:rFonts w:ascii="Times New Roman" w:hAnsi="Times New Roman" w:cs="Times New Roman"/>
          <w:sz w:val="24"/>
          <w:szCs w:val="24"/>
        </w:rPr>
        <w:t>%</w:t>
      </w:r>
      <w:r w:rsidR="00411B3C">
        <w:rPr>
          <w:rFonts w:ascii="Times New Roman" w:hAnsi="Times New Roman" w:cs="Times New Roman"/>
          <w:sz w:val="24"/>
          <w:szCs w:val="24"/>
        </w:rPr>
        <w:t xml:space="preserve"> u odnosu na plan 2024. g</w:t>
      </w:r>
      <w:r w:rsidR="00E80613">
        <w:rPr>
          <w:rFonts w:ascii="Times New Roman" w:hAnsi="Times New Roman" w:cs="Times New Roman"/>
          <w:sz w:val="24"/>
          <w:szCs w:val="24"/>
        </w:rPr>
        <w:t>.</w:t>
      </w:r>
    </w:p>
    <w:p w:rsidR="00494E91" w:rsidRPr="00927915" w:rsidRDefault="009A7DB7" w:rsidP="00494E91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A622122 Programsko financiranje</w:t>
      </w:r>
      <w:r w:rsidR="00494E91" w:rsidRPr="00927915">
        <w:rPr>
          <w:rFonts w:ascii="Times New Roman" w:hAnsi="Times New Roman" w:cs="Times New Roman"/>
          <w:sz w:val="24"/>
          <w:szCs w:val="24"/>
        </w:rPr>
        <w:t xml:space="preserve"> Sveučilišta u Zagrebu</w:t>
      </w:r>
    </w:p>
    <w:p w:rsidR="00306178" w:rsidRPr="00927915" w:rsidRDefault="00306178" w:rsidP="003061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Ova aktivnost sastoji se od sljedećih elemenata/podaktivnosti:</w:t>
      </w:r>
    </w:p>
    <w:p w:rsidR="008E0E0E" w:rsidRPr="00927915" w:rsidRDefault="00306178" w:rsidP="008E0E0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programsko financiranje materijalnih troškova</w:t>
      </w:r>
    </w:p>
    <w:p w:rsidR="00F04095" w:rsidRPr="00927915" w:rsidRDefault="00306178" w:rsidP="008E0E0E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potpore znanstvenim istraživanjima</w:t>
      </w:r>
    </w:p>
    <w:tbl>
      <w:tblPr>
        <w:tblStyle w:val="TableGrid11"/>
        <w:tblW w:w="0" w:type="auto"/>
        <w:tblLook w:val="04A0" w:firstRow="1" w:lastRow="0" w:firstColumn="1" w:lastColumn="0" w:noHBand="0" w:noVBand="1"/>
      </w:tblPr>
      <w:tblGrid>
        <w:gridCol w:w="1709"/>
        <w:gridCol w:w="1231"/>
        <w:gridCol w:w="1215"/>
        <w:gridCol w:w="1215"/>
        <w:gridCol w:w="1248"/>
        <w:gridCol w:w="1249"/>
        <w:gridCol w:w="1195"/>
      </w:tblGrid>
      <w:tr w:rsidR="001C61A7" w:rsidRPr="00927915" w:rsidTr="00B83F26">
        <w:tc>
          <w:tcPr>
            <w:tcW w:w="1838" w:type="dxa"/>
            <w:shd w:val="clear" w:color="auto" w:fill="D0CECE" w:themeFill="background2" w:themeFillShade="E6"/>
          </w:tcPr>
          <w:p w:rsidR="00324046" w:rsidRPr="00927915" w:rsidRDefault="00324046" w:rsidP="003240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046" w:rsidRPr="00927915" w:rsidRDefault="00324046" w:rsidP="003240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:rsidR="00324046" w:rsidRPr="00927915" w:rsidRDefault="001C61A7" w:rsidP="0032404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2022</w:t>
            </w:r>
            <w:r w:rsidR="00324046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:rsidR="00324046" w:rsidRPr="00927915" w:rsidRDefault="001C61A7" w:rsidP="0032404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2023</w:t>
            </w:r>
            <w:r w:rsidR="00324046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:rsidR="00324046" w:rsidRPr="00927915" w:rsidRDefault="001C61A7" w:rsidP="0032404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2024</w:t>
            </w:r>
            <w:r w:rsidR="00324046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:rsidR="00324046" w:rsidRPr="00927915" w:rsidRDefault="001C61A7" w:rsidP="0032404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2025</w:t>
            </w:r>
            <w:r w:rsidR="00324046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:rsidR="00324046" w:rsidRPr="00927915" w:rsidRDefault="001C61A7" w:rsidP="0032404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2026</w:t>
            </w:r>
            <w:r w:rsidR="00324046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1" w:type="dxa"/>
            <w:shd w:val="clear" w:color="auto" w:fill="D0CECE" w:themeFill="background2" w:themeFillShade="E6"/>
            <w:vAlign w:val="center"/>
          </w:tcPr>
          <w:p w:rsidR="00324046" w:rsidRPr="00927915" w:rsidRDefault="001C61A7" w:rsidP="0032404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 24./23</w:t>
            </w:r>
            <w:r w:rsidR="00324046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61A7" w:rsidRPr="00927915" w:rsidTr="00B83F26">
        <w:tc>
          <w:tcPr>
            <w:tcW w:w="1838" w:type="dxa"/>
          </w:tcPr>
          <w:p w:rsidR="00324046" w:rsidRPr="00927915" w:rsidRDefault="00324046" w:rsidP="003240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A622122</w:t>
            </w:r>
          </w:p>
        </w:tc>
        <w:tc>
          <w:tcPr>
            <w:tcW w:w="1260" w:type="dxa"/>
          </w:tcPr>
          <w:p w:rsidR="00324046" w:rsidRPr="00927915" w:rsidRDefault="001C61A7" w:rsidP="003240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670.395</w:t>
            </w:r>
          </w:p>
        </w:tc>
        <w:tc>
          <w:tcPr>
            <w:tcW w:w="1261" w:type="dxa"/>
          </w:tcPr>
          <w:p w:rsidR="00324046" w:rsidRPr="00927915" w:rsidRDefault="001C61A7" w:rsidP="003240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530.608</w:t>
            </w:r>
          </w:p>
        </w:tc>
        <w:tc>
          <w:tcPr>
            <w:tcW w:w="1261" w:type="dxa"/>
          </w:tcPr>
          <w:p w:rsidR="00324046" w:rsidRPr="00927915" w:rsidRDefault="009D7596" w:rsidP="003240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489.453</w:t>
            </w:r>
          </w:p>
        </w:tc>
        <w:tc>
          <w:tcPr>
            <w:tcW w:w="1260" w:type="dxa"/>
          </w:tcPr>
          <w:p w:rsidR="00324046" w:rsidRPr="00927915" w:rsidRDefault="009D7596" w:rsidP="003240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489.453</w:t>
            </w:r>
          </w:p>
        </w:tc>
        <w:tc>
          <w:tcPr>
            <w:tcW w:w="1261" w:type="dxa"/>
          </w:tcPr>
          <w:p w:rsidR="00324046" w:rsidRPr="00927915" w:rsidRDefault="009D7596" w:rsidP="003240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489,43</w:t>
            </w:r>
          </w:p>
        </w:tc>
        <w:tc>
          <w:tcPr>
            <w:tcW w:w="1261" w:type="dxa"/>
          </w:tcPr>
          <w:p w:rsidR="00324046" w:rsidRPr="00927915" w:rsidRDefault="00FC6539" w:rsidP="0032404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82,54</w:t>
            </w:r>
          </w:p>
        </w:tc>
      </w:tr>
    </w:tbl>
    <w:p w:rsidR="00F04095" w:rsidRPr="00927915" w:rsidRDefault="00F04095" w:rsidP="003240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046" w:rsidRPr="00927915" w:rsidRDefault="00ED704E" w:rsidP="003240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Za stavke subvencija programskog financiranje (participacija škol</w:t>
      </w:r>
      <w:r w:rsidR="001C61A7">
        <w:rPr>
          <w:rFonts w:ascii="Times New Roman" w:hAnsi="Times New Roman" w:cs="Times New Roman"/>
          <w:sz w:val="24"/>
          <w:szCs w:val="24"/>
        </w:rPr>
        <w:t>arina i potpora znanosti) u 2024</w:t>
      </w:r>
      <w:r w:rsidRPr="00927915">
        <w:rPr>
          <w:rFonts w:ascii="Times New Roman" w:hAnsi="Times New Roman" w:cs="Times New Roman"/>
          <w:sz w:val="24"/>
          <w:szCs w:val="24"/>
        </w:rPr>
        <w:t xml:space="preserve">. godini planirana su sredstva </w:t>
      </w:r>
      <w:r w:rsidR="001C61A7">
        <w:rPr>
          <w:rFonts w:ascii="Times New Roman" w:hAnsi="Times New Roman" w:cs="Times New Roman"/>
          <w:sz w:val="24"/>
          <w:szCs w:val="24"/>
        </w:rPr>
        <w:t>prema limitima, s</w:t>
      </w:r>
      <w:r w:rsidR="00FC6539">
        <w:rPr>
          <w:rFonts w:ascii="Times New Roman" w:hAnsi="Times New Roman" w:cs="Times New Roman"/>
          <w:sz w:val="24"/>
          <w:szCs w:val="24"/>
        </w:rPr>
        <w:t>redstva su planirana sa smanjenjem u odnosu na 2023. g. za 17,46</w:t>
      </w:r>
      <w:r w:rsidR="001C61A7">
        <w:rPr>
          <w:rFonts w:ascii="Times New Roman" w:hAnsi="Times New Roman" w:cs="Times New Roman"/>
          <w:sz w:val="24"/>
          <w:szCs w:val="24"/>
        </w:rPr>
        <w:t>%. Projekcije za 2025</w:t>
      </w:r>
      <w:r w:rsidRPr="00927915">
        <w:rPr>
          <w:rFonts w:ascii="Times New Roman" w:hAnsi="Times New Roman" w:cs="Times New Roman"/>
          <w:sz w:val="24"/>
          <w:szCs w:val="24"/>
        </w:rPr>
        <w:t>.</w:t>
      </w:r>
      <w:r w:rsidR="001C61A7">
        <w:rPr>
          <w:rFonts w:ascii="Times New Roman" w:hAnsi="Times New Roman" w:cs="Times New Roman"/>
          <w:sz w:val="24"/>
          <w:szCs w:val="24"/>
        </w:rPr>
        <w:t xml:space="preserve"> g.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1C61A7">
        <w:rPr>
          <w:rFonts w:ascii="Times New Roman" w:hAnsi="Times New Roman" w:cs="Times New Roman"/>
          <w:sz w:val="24"/>
          <w:szCs w:val="24"/>
        </w:rPr>
        <w:t xml:space="preserve"> i 2026</w:t>
      </w:r>
      <w:r w:rsidR="00F44C92">
        <w:rPr>
          <w:rFonts w:ascii="Times New Roman" w:hAnsi="Times New Roman" w:cs="Times New Roman"/>
          <w:sz w:val="24"/>
          <w:szCs w:val="24"/>
        </w:rPr>
        <w:t xml:space="preserve">. </w:t>
      </w:r>
      <w:r w:rsidRPr="00927915">
        <w:rPr>
          <w:rFonts w:ascii="Times New Roman" w:hAnsi="Times New Roman" w:cs="Times New Roman"/>
          <w:sz w:val="24"/>
          <w:szCs w:val="24"/>
        </w:rPr>
        <w:t xml:space="preserve">g. planirane su </w:t>
      </w:r>
      <w:r w:rsidR="00F44C92">
        <w:rPr>
          <w:rFonts w:ascii="Times New Roman" w:hAnsi="Times New Roman" w:cs="Times New Roman"/>
          <w:sz w:val="24"/>
          <w:szCs w:val="24"/>
        </w:rPr>
        <w:t xml:space="preserve">u jednakom iznosu </w:t>
      </w:r>
      <w:r w:rsidR="007A65D7">
        <w:rPr>
          <w:rFonts w:ascii="Times New Roman" w:hAnsi="Times New Roman" w:cs="Times New Roman"/>
          <w:sz w:val="24"/>
          <w:szCs w:val="24"/>
        </w:rPr>
        <w:t>prema uputi</w:t>
      </w:r>
      <w:r w:rsidRPr="00927915">
        <w:rPr>
          <w:rFonts w:ascii="Times New Roman" w:hAnsi="Times New Roman" w:cs="Times New Roman"/>
          <w:sz w:val="24"/>
          <w:szCs w:val="24"/>
        </w:rPr>
        <w:t>.</w:t>
      </w:r>
    </w:p>
    <w:p w:rsidR="00F522E3" w:rsidRPr="00927915" w:rsidRDefault="00F522E3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lastRenderedPageBreak/>
        <w:t>Veterinarski fakultet Sveučilišta u Zagrebu  je proračunski korisnik koji se financira iz proračunskih sredstava</w:t>
      </w:r>
      <w:r w:rsidR="00236ADC" w:rsidRPr="00927915">
        <w:rPr>
          <w:rFonts w:ascii="Times New Roman" w:hAnsi="Times New Roman" w:cs="Times New Roman"/>
          <w:sz w:val="24"/>
          <w:szCs w:val="24"/>
        </w:rPr>
        <w:t>, a</w:t>
      </w:r>
      <w:r w:rsidRPr="00927915">
        <w:rPr>
          <w:rFonts w:ascii="Times New Roman" w:hAnsi="Times New Roman" w:cs="Times New Roman"/>
          <w:sz w:val="24"/>
          <w:szCs w:val="24"/>
        </w:rPr>
        <w:t xml:space="preserve"> u okviru Sveučilišta u Zagrebu putem nadležnog Ministarstva znanosti i </w:t>
      </w:r>
      <w:r w:rsidR="00236ADC" w:rsidRPr="00927915">
        <w:rPr>
          <w:rFonts w:ascii="Times New Roman" w:hAnsi="Times New Roman" w:cs="Times New Roman"/>
          <w:sz w:val="24"/>
          <w:szCs w:val="24"/>
        </w:rPr>
        <w:t>obrazovanja. Tijekom prošle akademske godine poslovanje</w:t>
      </w:r>
      <w:r w:rsidR="00817025">
        <w:rPr>
          <w:rFonts w:ascii="Times New Roman" w:hAnsi="Times New Roman" w:cs="Times New Roman"/>
          <w:sz w:val="24"/>
          <w:szCs w:val="24"/>
        </w:rPr>
        <w:t xml:space="preserve"> Fakulteta je financirano iz  60,53</w:t>
      </w:r>
      <w:r w:rsidR="00060A01">
        <w:rPr>
          <w:rFonts w:ascii="Times New Roman" w:hAnsi="Times New Roman" w:cs="Times New Roman"/>
          <w:sz w:val="24"/>
          <w:szCs w:val="24"/>
        </w:rPr>
        <w:t xml:space="preserve"> % proračunskih prihoda, 19</w:t>
      </w:r>
      <w:r w:rsidR="00817025">
        <w:rPr>
          <w:rFonts w:ascii="Times New Roman" w:hAnsi="Times New Roman" w:cs="Times New Roman"/>
          <w:sz w:val="24"/>
          <w:szCs w:val="24"/>
        </w:rPr>
        <w:t>,02</w:t>
      </w:r>
      <w:r w:rsidR="00236ADC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</w:rPr>
        <w:t xml:space="preserve">% </w:t>
      </w:r>
      <w:r w:rsidR="00236ADC" w:rsidRPr="00927915">
        <w:rPr>
          <w:rFonts w:ascii="Times New Roman" w:hAnsi="Times New Roman" w:cs="Times New Roman"/>
          <w:sz w:val="24"/>
          <w:szCs w:val="24"/>
        </w:rPr>
        <w:t>vlastitih</w:t>
      </w:r>
      <w:r w:rsidR="00817025">
        <w:rPr>
          <w:rFonts w:ascii="Times New Roman" w:hAnsi="Times New Roman" w:cs="Times New Roman"/>
          <w:sz w:val="24"/>
          <w:szCs w:val="24"/>
        </w:rPr>
        <w:t xml:space="preserve"> prihoda ostvarenih na tržištu, </w:t>
      </w:r>
      <w:r w:rsidR="00060A01">
        <w:rPr>
          <w:rFonts w:ascii="Times New Roman" w:hAnsi="Times New Roman" w:cs="Times New Roman"/>
          <w:sz w:val="24"/>
          <w:szCs w:val="24"/>
        </w:rPr>
        <w:t>9</w:t>
      </w:r>
      <w:r w:rsidR="00817025">
        <w:rPr>
          <w:rFonts w:ascii="Times New Roman" w:hAnsi="Times New Roman" w:cs="Times New Roman"/>
          <w:sz w:val="24"/>
          <w:szCs w:val="24"/>
        </w:rPr>
        <w:t>,05</w:t>
      </w:r>
      <w:r w:rsidR="00236ADC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A14740" w:rsidRPr="00927915">
        <w:rPr>
          <w:rFonts w:ascii="Times New Roman" w:hAnsi="Times New Roman" w:cs="Times New Roman"/>
          <w:sz w:val="24"/>
          <w:szCs w:val="24"/>
        </w:rPr>
        <w:t xml:space="preserve">% namjenskih prihoda </w:t>
      </w:r>
      <w:r w:rsidR="00817025">
        <w:rPr>
          <w:rFonts w:ascii="Times New Roman" w:hAnsi="Times New Roman" w:cs="Times New Roman"/>
          <w:sz w:val="24"/>
          <w:szCs w:val="24"/>
        </w:rPr>
        <w:t xml:space="preserve">i </w:t>
      </w:r>
      <w:r w:rsidR="00060A01">
        <w:rPr>
          <w:rFonts w:ascii="Times New Roman" w:hAnsi="Times New Roman" w:cs="Times New Roman"/>
          <w:sz w:val="24"/>
          <w:szCs w:val="24"/>
        </w:rPr>
        <w:t>11</w:t>
      </w:r>
      <w:r w:rsidR="00817025">
        <w:rPr>
          <w:rFonts w:ascii="Times New Roman" w:hAnsi="Times New Roman" w:cs="Times New Roman"/>
          <w:sz w:val="24"/>
          <w:szCs w:val="24"/>
        </w:rPr>
        <w:t>,39</w:t>
      </w:r>
      <w:r w:rsidR="00236ADC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817025">
        <w:rPr>
          <w:rFonts w:ascii="Times New Roman" w:hAnsi="Times New Roman" w:cs="Times New Roman"/>
          <w:sz w:val="24"/>
          <w:szCs w:val="24"/>
        </w:rPr>
        <w:t xml:space="preserve">% prihoda tekućih pomoći </w:t>
      </w:r>
      <w:r w:rsidRPr="00927915">
        <w:rPr>
          <w:rFonts w:ascii="Times New Roman" w:hAnsi="Times New Roman" w:cs="Times New Roman"/>
          <w:sz w:val="24"/>
          <w:szCs w:val="24"/>
        </w:rPr>
        <w:t xml:space="preserve">za </w:t>
      </w:r>
      <w:r w:rsidR="00817025">
        <w:rPr>
          <w:rFonts w:ascii="Times New Roman" w:hAnsi="Times New Roman" w:cs="Times New Roman"/>
          <w:sz w:val="24"/>
          <w:szCs w:val="24"/>
        </w:rPr>
        <w:t>aktivnosti u okviru međunarodnih projekata i financiranjem projekta obnove od potresa</w:t>
      </w:r>
      <w:r w:rsidRPr="009279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22E3" w:rsidRPr="00927915" w:rsidRDefault="00F522E3" w:rsidP="00CA622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915">
        <w:rPr>
          <w:rFonts w:ascii="Times New Roman" w:hAnsi="Times New Roman" w:cs="Times New Roman"/>
          <w:color w:val="000000"/>
          <w:sz w:val="24"/>
          <w:szCs w:val="24"/>
        </w:rPr>
        <w:t>Iako planirana,  sredstva Fakulteta ograničena su u  proračunskom dijelu koji se donosi krajem svake godine za slijedeću godinu, jer proračunom Sveučilišta u Zagrebu čiji je sastavnica i Fakultet, niti u jednoj proračunskoj godini za cjelovit iznos ( Lump Sum) nisu osigurana potrebna sredstva za  pokriće materijalnih rashoda za na</w:t>
      </w:r>
      <w:r w:rsidR="00DF3911">
        <w:rPr>
          <w:rFonts w:ascii="Times New Roman" w:hAnsi="Times New Roman" w:cs="Times New Roman"/>
          <w:color w:val="000000"/>
          <w:sz w:val="24"/>
          <w:szCs w:val="24"/>
        </w:rPr>
        <w:t>stavnu djelatnost (struja, voda</w:t>
      </w:r>
      <w:r w:rsidRPr="00927915">
        <w:rPr>
          <w:rFonts w:ascii="Times New Roman" w:hAnsi="Times New Roman" w:cs="Times New Roman"/>
          <w:color w:val="000000"/>
          <w:sz w:val="24"/>
          <w:szCs w:val="24"/>
        </w:rPr>
        <w:t>, grijanj</w:t>
      </w:r>
      <w:r w:rsidR="00E81258" w:rsidRPr="00927915">
        <w:rPr>
          <w:rFonts w:ascii="Times New Roman" w:hAnsi="Times New Roman" w:cs="Times New Roman"/>
          <w:color w:val="000000"/>
          <w:sz w:val="24"/>
          <w:szCs w:val="24"/>
        </w:rPr>
        <w:t>e, čistoća, komunalne naknade).</w:t>
      </w:r>
    </w:p>
    <w:p w:rsidR="00F522E3" w:rsidRPr="00927915" w:rsidRDefault="00F522E3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Važno je napomenuti da je edukacija studenata veterinarske medicine financijski najzahtjevnija u odnosu na programe drugih disciplina, jer uključuje kliničke i laboratorijske vježbe na Fakultetu te klinički rad na terenu uz podršku pomo</w:t>
      </w:r>
      <w:r w:rsidR="00DF3911">
        <w:rPr>
          <w:rFonts w:ascii="Times New Roman" w:hAnsi="Times New Roman" w:cs="Times New Roman"/>
          <w:sz w:val="24"/>
          <w:szCs w:val="24"/>
        </w:rPr>
        <w:t xml:space="preserve">ćnih službi. To nužno iziskuje </w:t>
      </w:r>
      <w:r w:rsidRPr="00927915">
        <w:rPr>
          <w:rFonts w:ascii="Times New Roman" w:hAnsi="Times New Roman" w:cs="Times New Roman"/>
          <w:sz w:val="24"/>
          <w:szCs w:val="24"/>
        </w:rPr>
        <w:t>veća financijska sredstva ča</w:t>
      </w:r>
      <w:r w:rsidR="00DF3911">
        <w:rPr>
          <w:rFonts w:ascii="Times New Roman" w:hAnsi="Times New Roman" w:cs="Times New Roman"/>
          <w:sz w:val="24"/>
          <w:szCs w:val="24"/>
        </w:rPr>
        <w:t xml:space="preserve">k i u odnosu na ostale studije </w:t>
      </w:r>
      <w:r w:rsidRPr="00927915">
        <w:rPr>
          <w:rFonts w:ascii="Times New Roman" w:hAnsi="Times New Roman" w:cs="Times New Roman"/>
          <w:sz w:val="24"/>
          <w:szCs w:val="24"/>
        </w:rPr>
        <w:t>biomedicinske grupacije.</w:t>
      </w:r>
    </w:p>
    <w:p w:rsidR="00F522E3" w:rsidRPr="00927915" w:rsidRDefault="00F522E3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Veterinarski fakultet u raspodjeli  subvencija participacija u ak. 20</w:t>
      </w:r>
      <w:r w:rsidR="003F6B2A">
        <w:rPr>
          <w:rFonts w:ascii="Times New Roman" w:hAnsi="Times New Roman" w:cs="Times New Roman"/>
          <w:sz w:val="24"/>
          <w:szCs w:val="24"/>
        </w:rPr>
        <w:t>22</w:t>
      </w:r>
      <w:r w:rsidRPr="00927915">
        <w:rPr>
          <w:rFonts w:ascii="Times New Roman" w:hAnsi="Times New Roman" w:cs="Times New Roman"/>
          <w:sz w:val="24"/>
          <w:szCs w:val="24"/>
        </w:rPr>
        <w:t>./20</w:t>
      </w:r>
      <w:r w:rsidR="003F6B2A">
        <w:rPr>
          <w:rFonts w:ascii="Times New Roman" w:hAnsi="Times New Roman" w:cs="Times New Roman"/>
          <w:sz w:val="24"/>
          <w:szCs w:val="24"/>
        </w:rPr>
        <w:t>23</w:t>
      </w:r>
      <w:r w:rsidRPr="00927915">
        <w:rPr>
          <w:rFonts w:ascii="Times New Roman" w:hAnsi="Times New Roman" w:cs="Times New Roman"/>
          <w:sz w:val="24"/>
          <w:szCs w:val="24"/>
        </w:rPr>
        <w:t>. godini, unutar biomedicinskog p</w:t>
      </w:r>
      <w:r w:rsidR="00DF3911">
        <w:rPr>
          <w:rFonts w:ascii="Times New Roman" w:hAnsi="Times New Roman" w:cs="Times New Roman"/>
          <w:sz w:val="24"/>
          <w:szCs w:val="24"/>
        </w:rPr>
        <w:t xml:space="preserve">odručja zastupljen </w:t>
      </w:r>
      <w:r w:rsidR="00EB3F28">
        <w:rPr>
          <w:rFonts w:ascii="Times New Roman" w:hAnsi="Times New Roman" w:cs="Times New Roman"/>
          <w:sz w:val="24"/>
          <w:szCs w:val="24"/>
        </w:rPr>
        <w:t xml:space="preserve">je </w:t>
      </w:r>
      <w:r w:rsidR="00DF3911">
        <w:rPr>
          <w:rFonts w:ascii="Times New Roman" w:hAnsi="Times New Roman" w:cs="Times New Roman"/>
          <w:sz w:val="24"/>
          <w:szCs w:val="24"/>
        </w:rPr>
        <w:t>sa sve</w:t>
      </w:r>
      <w:r w:rsidR="003F6B2A">
        <w:rPr>
          <w:rFonts w:ascii="Times New Roman" w:hAnsi="Times New Roman" w:cs="Times New Roman"/>
          <w:sz w:val="24"/>
          <w:szCs w:val="24"/>
        </w:rPr>
        <w:t>ga 13,88</w:t>
      </w:r>
      <w:r w:rsidRPr="00927915">
        <w:rPr>
          <w:rFonts w:ascii="Times New Roman" w:hAnsi="Times New Roman" w:cs="Times New Roman"/>
          <w:sz w:val="24"/>
          <w:szCs w:val="24"/>
        </w:rPr>
        <w:t xml:space="preserve"> %,</w:t>
      </w:r>
      <w:r w:rsidR="00E81258" w:rsidRPr="00927915">
        <w:rPr>
          <w:rFonts w:ascii="Times New Roman" w:hAnsi="Times New Roman" w:cs="Times New Roman"/>
          <w:sz w:val="24"/>
          <w:szCs w:val="24"/>
        </w:rPr>
        <w:t xml:space="preserve"> što nije niti približno </w:t>
      </w:r>
      <w:r w:rsidR="00E7596F" w:rsidRPr="00927915">
        <w:rPr>
          <w:rFonts w:ascii="Times New Roman" w:hAnsi="Times New Roman" w:cs="Times New Roman"/>
          <w:sz w:val="24"/>
          <w:szCs w:val="24"/>
        </w:rPr>
        <w:t>dovoljno sredstava za pokriće materijalnih troškova poslovanja,</w:t>
      </w:r>
      <w:r w:rsidRPr="00927915">
        <w:rPr>
          <w:rFonts w:ascii="Times New Roman" w:hAnsi="Times New Roman" w:cs="Times New Roman"/>
          <w:sz w:val="24"/>
          <w:szCs w:val="24"/>
        </w:rPr>
        <w:t xml:space="preserve"> imajući u vidu i da je ukupna kvadratura radnog prostora Veterinarskog fakulteta  za održavanje nastave i kliničkih vježbi</w:t>
      </w:r>
      <w:r w:rsidR="00791550">
        <w:rPr>
          <w:rFonts w:ascii="Times New Roman" w:hAnsi="Times New Roman" w:cs="Times New Roman"/>
          <w:sz w:val="24"/>
          <w:szCs w:val="24"/>
        </w:rPr>
        <w:t xml:space="preserve"> na klinikama Fakulteta 25.000</w:t>
      </w:r>
      <w:r w:rsidR="00EB3F28">
        <w:rPr>
          <w:rFonts w:ascii="Times New Roman" w:hAnsi="Times New Roman" w:cs="Times New Roman"/>
          <w:sz w:val="24"/>
          <w:szCs w:val="24"/>
        </w:rPr>
        <w:t xml:space="preserve"> </w:t>
      </w:r>
      <w:r w:rsidR="00791550">
        <w:rPr>
          <w:rFonts w:ascii="Times New Roman" w:hAnsi="Times New Roman" w:cs="Times New Roman"/>
          <w:sz w:val="24"/>
          <w:szCs w:val="24"/>
        </w:rPr>
        <w:t>m²</w:t>
      </w:r>
      <w:r w:rsidRPr="00927915">
        <w:rPr>
          <w:rFonts w:ascii="Times New Roman" w:hAnsi="Times New Roman" w:cs="Times New Roman"/>
          <w:sz w:val="24"/>
          <w:szCs w:val="24"/>
        </w:rPr>
        <w:t>.</w:t>
      </w:r>
    </w:p>
    <w:p w:rsidR="00F522E3" w:rsidRDefault="00F522E3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27915">
        <w:rPr>
          <w:rFonts w:ascii="Times New Roman" w:hAnsi="Times New Roman" w:cs="Times New Roman"/>
          <w:sz w:val="24"/>
          <w:szCs w:val="24"/>
          <w:lang w:val="pl-PL"/>
        </w:rPr>
        <w:t>Financijski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plan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Veterinarskog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fakulteta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Sveu</w:t>
      </w:r>
      <w:r w:rsidRPr="00927915">
        <w:rPr>
          <w:rFonts w:ascii="Times New Roman" w:hAnsi="Times New Roman" w:cs="Times New Roman"/>
          <w:sz w:val="24"/>
          <w:szCs w:val="24"/>
        </w:rPr>
        <w:t>č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ili</w:t>
      </w:r>
      <w:r w:rsidRPr="00927915">
        <w:rPr>
          <w:rFonts w:ascii="Times New Roman" w:hAnsi="Times New Roman" w:cs="Times New Roman"/>
          <w:sz w:val="24"/>
          <w:szCs w:val="24"/>
        </w:rPr>
        <w:t>š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ta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Zagrebu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narednom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razdoblju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prilago</w:t>
      </w:r>
      <w:r w:rsidRPr="00927915">
        <w:rPr>
          <w:rFonts w:ascii="Times New Roman" w:hAnsi="Times New Roman" w:cs="Times New Roman"/>
          <w:sz w:val="24"/>
          <w:szCs w:val="24"/>
        </w:rPr>
        <w:t>đ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en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je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glavnom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strate</w:t>
      </w:r>
      <w:r w:rsidRPr="00927915">
        <w:rPr>
          <w:rFonts w:ascii="Times New Roman" w:hAnsi="Times New Roman" w:cs="Times New Roman"/>
          <w:sz w:val="24"/>
          <w:szCs w:val="24"/>
        </w:rPr>
        <w:t>š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kom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cilju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fakulteta</w:t>
      </w:r>
      <w:r w:rsidRPr="00927915">
        <w:rPr>
          <w:rFonts w:ascii="Times New Roman" w:hAnsi="Times New Roman" w:cs="Times New Roman"/>
          <w:sz w:val="24"/>
          <w:szCs w:val="24"/>
        </w:rPr>
        <w:t xml:space="preserve">,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to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je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nastavak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pobolj</w:t>
      </w:r>
      <w:r w:rsidRPr="00927915">
        <w:rPr>
          <w:rFonts w:ascii="Times New Roman" w:hAnsi="Times New Roman" w:cs="Times New Roman"/>
          <w:sz w:val="24"/>
          <w:szCs w:val="24"/>
        </w:rPr>
        <w:t>š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anja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uvjeta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studiranja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studenata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Fakultetu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akreditiranim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laboratorijima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927915">
        <w:rPr>
          <w:rFonts w:ascii="Times New Roman" w:hAnsi="Times New Roman" w:cs="Times New Roman"/>
          <w:sz w:val="24"/>
          <w:szCs w:val="24"/>
        </w:rPr>
        <w:t xml:space="preserve"> nabavkom suvremene opreme za edukaciju studenata na K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>linikama.</w:t>
      </w:r>
    </w:p>
    <w:p w:rsidR="00EB3F28" w:rsidRDefault="00EB3F28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B3F28" w:rsidRPr="00927915" w:rsidRDefault="00EB3F28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D704E" w:rsidRPr="00927915" w:rsidRDefault="00ED704E" w:rsidP="00ED704E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A621181 Pravomoćne sudske presude</w:t>
      </w:r>
    </w:p>
    <w:p w:rsidR="00F522E3" w:rsidRPr="00927915" w:rsidRDefault="002C2F62" w:rsidP="00CA622B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 xml:space="preserve">Za isplatu prema pravomoćnim sudskim presudama za tužbe zbog nepovećanja 6% </w:t>
      </w:r>
      <w:r w:rsidR="000F57EB">
        <w:rPr>
          <w:rFonts w:ascii="Times New Roman" w:hAnsi="Times New Roman" w:cs="Times New Roman"/>
          <w:sz w:val="24"/>
          <w:szCs w:val="24"/>
        </w:rPr>
        <w:t>osnovice za izračun plaća u 2024</w:t>
      </w:r>
      <w:r w:rsidRPr="00927915">
        <w:rPr>
          <w:rFonts w:ascii="Times New Roman" w:hAnsi="Times New Roman" w:cs="Times New Roman"/>
          <w:sz w:val="24"/>
          <w:szCs w:val="24"/>
        </w:rPr>
        <w:t>. go</w:t>
      </w:r>
      <w:r w:rsidR="000F57EB">
        <w:rPr>
          <w:rFonts w:ascii="Times New Roman" w:hAnsi="Times New Roman" w:cs="Times New Roman"/>
          <w:sz w:val="24"/>
          <w:szCs w:val="24"/>
        </w:rPr>
        <w:t xml:space="preserve">dini planiran je iznos od </w:t>
      </w:r>
      <w:r w:rsidR="009D7596">
        <w:rPr>
          <w:rFonts w:ascii="Times New Roman" w:hAnsi="Times New Roman" w:cs="Times New Roman"/>
          <w:sz w:val="24"/>
          <w:szCs w:val="24"/>
        </w:rPr>
        <w:t>50.111</w:t>
      </w:r>
      <w:r w:rsidRPr="00927915">
        <w:rPr>
          <w:rFonts w:ascii="Times New Roman" w:hAnsi="Times New Roman" w:cs="Times New Roman"/>
          <w:sz w:val="24"/>
          <w:szCs w:val="24"/>
        </w:rPr>
        <w:t xml:space="preserve"> eura za troškove isplata razlika plaća i doprinosa, sudskih pristojbi i zateznih kamata.</w:t>
      </w:r>
    </w:p>
    <w:p w:rsidR="00846CD9" w:rsidRPr="00927915" w:rsidRDefault="00846CD9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CD9" w:rsidRPr="00927915" w:rsidRDefault="00846CD9" w:rsidP="00CA622B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A679088 Redovna djelatnost Sveučilišta u Zagrebu (iz evidencijskih prihoda)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Zakonske i druge pravne osnove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>Zakon o znanstvenoj dje</w:t>
      </w:r>
      <w:r w:rsidR="000B3347" w:rsidRPr="00927915">
        <w:rPr>
          <w:rFonts w:ascii="Times New Roman" w:hAnsi="Times New Roman" w:cs="Times New Roman"/>
          <w:sz w:val="24"/>
          <w:szCs w:val="24"/>
        </w:rPr>
        <w:t xml:space="preserve">latnosti i visokom obrazovanju 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>Zakon o Proračunu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 xml:space="preserve">Zakon o veterinarstvu 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>Pravilnik o integriranom preddiplomskom i diplomskom studiju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>Izmjene pravilnika o integriranom preddiplomskom i diplomskom studiju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>Pravilnik o ustroju radnih mjesta</w:t>
      </w:r>
      <w:r w:rsidRPr="00927915">
        <w:rPr>
          <w:rFonts w:ascii="Times New Roman" w:hAnsi="Times New Roman" w:cs="Times New Roman"/>
          <w:sz w:val="24"/>
          <w:szCs w:val="24"/>
        </w:rPr>
        <w:tab/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 xml:space="preserve">Pravilnik o radu 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 xml:space="preserve">Pravilnik o zaštiti na radu 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>Strategija razvoja Veterinarskog fakulteta</w:t>
      </w:r>
      <w:r w:rsidR="004B1F92" w:rsidRPr="00927915">
        <w:rPr>
          <w:rFonts w:ascii="Times New Roman" w:hAnsi="Times New Roman" w:cs="Times New Roman"/>
          <w:sz w:val="24"/>
          <w:szCs w:val="24"/>
        </w:rPr>
        <w:t xml:space="preserve"> za razdoblje 2023. – 2027.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 xml:space="preserve">Statut Veterinarskoga </w:t>
      </w:r>
      <w:r w:rsidR="004B1F92" w:rsidRPr="00927915">
        <w:rPr>
          <w:rFonts w:ascii="Times New Roman" w:hAnsi="Times New Roman" w:cs="Times New Roman"/>
          <w:sz w:val="24"/>
          <w:szCs w:val="24"/>
        </w:rPr>
        <w:t>fakulteta Sveučilišta u Zagrebu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 xml:space="preserve">Pravilnik o uvjetima i postupku izbora u zvanja i na odgovarajuća radna mjesta 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 xml:space="preserve">Naputak o postupku izbora u zvanja i odgovarajuća radna mjesta 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 xml:space="preserve">Pravilnik o ustroju i radu znanstveno-nastavnog poligona Fakultetsko dobro Dugo Selo 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 xml:space="preserve">Pravilnik o ustroju i radu lovno-nastavnog poligona Veterinarskog fakulteta 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 xml:space="preserve">Pravilnik o unutarnjem ustroju veterinarskoga fakulteta 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>Pravilnik o sustavu osiguranja kvalitete na Veterinarskom fakultetu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>Pravilnik o doktorskom studiju na Veterinarskom fakultetu u Zagrebu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>Pravilnik o poslijediplomskim specijalističkim studijima Veterinarskog fakulteta Sveučilišta u Zagrebu</w:t>
      </w:r>
    </w:p>
    <w:p w:rsidR="00CA622B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 xml:space="preserve">Pravilnik o ambulantnoj klinici Veterinarskog fakulteta Sveučilišta u Zagrebu </w:t>
      </w:r>
    </w:p>
    <w:p w:rsidR="003B2CF0" w:rsidRPr="00927915" w:rsidRDefault="00CA622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•</w:t>
      </w:r>
      <w:r w:rsidRPr="00927915">
        <w:rPr>
          <w:rFonts w:ascii="Times New Roman" w:hAnsi="Times New Roman" w:cs="Times New Roman"/>
          <w:sz w:val="24"/>
          <w:szCs w:val="24"/>
        </w:rPr>
        <w:tab/>
        <w:t>Pravilnik o sveučilišnoj nastavnoj literaturi i izdavačkoj djelatnosti</w:t>
      </w:r>
    </w:p>
    <w:p w:rsidR="00927915" w:rsidRPr="00927915" w:rsidRDefault="00927915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77B" w:rsidRPr="00927915" w:rsidRDefault="00927915" w:rsidP="00CA622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1.1</w:t>
      </w:r>
      <w:r w:rsidR="003F577B" w:rsidRPr="00927915">
        <w:rPr>
          <w:rFonts w:ascii="Times New Roman" w:hAnsi="Times New Roman" w:cs="Times New Roman"/>
          <w:sz w:val="24"/>
          <w:szCs w:val="24"/>
        </w:rPr>
        <w:t>. Obrazloženje programa- Vlastiti prihodi:– prihodi od prodaje proizvoda i robe te pruženih usluga</w:t>
      </w:r>
      <w:r w:rsidRPr="00927915">
        <w:rPr>
          <w:rFonts w:ascii="Times New Roman" w:hAnsi="Times New Roman" w:cs="Times New Roman"/>
          <w:sz w:val="24"/>
          <w:szCs w:val="24"/>
        </w:rPr>
        <w:t xml:space="preserve"> – izvor 31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1234"/>
        <w:gridCol w:w="1220"/>
        <w:gridCol w:w="1220"/>
        <w:gridCol w:w="1204"/>
        <w:gridCol w:w="1220"/>
        <w:gridCol w:w="1197"/>
      </w:tblGrid>
      <w:tr w:rsidR="00A7360C" w:rsidRPr="00927915" w:rsidTr="00403AC4">
        <w:tc>
          <w:tcPr>
            <w:tcW w:w="1767" w:type="dxa"/>
            <w:shd w:val="clear" w:color="auto" w:fill="D0CECE" w:themeFill="background2" w:themeFillShade="E6"/>
          </w:tcPr>
          <w:p w:rsidR="003F577B" w:rsidRPr="00927915" w:rsidRDefault="003F577B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77B" w:rsidRPr="00927915" w:rsidRDefault="003F577B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D0CECE" w:themeFill="background2" w:themeFillShade="E6"/>
            <w:vAlign w:val="center"/>
          </w:tcPr>
          <w:p w:rsidR="003F577B" w:rsidRPr="00927915" w:rsidRDefault="00375625" w:rsidP="00CA6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2022</w:t>
            </w:r>
            <w:r w:rsidR="003F577B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:rsidR="003F577B" w:rsidRPr="00927915" w:rsidRDefault="003F577B" w:rsidP="00CA6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Plan 20</w:t>
            </w:r>
            <w:r w:rsidR="003756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:rsidR="003F577B" w:rsidRPr="00927915" w:rsidRDefault="003F577B" w:rsidP="00CA6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75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shd w:val="clear" w:color="auto" w:fill="D0CECE" w:themeFill="background2" w:themeFillShade="E6"/>
            <w:vAlign w:val="center"/>
          </w:tcPr>
          <w:p w:rsidR="003F577B" w:rsidRPr="00927915" w:rsidRDefault="00375625" w:rsidP="00CA6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</w:t>
            </w:r>
            <w:r w:rsidR="003F577B" w:rsidRPr="0092791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577B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:rsidR="003F577B" w:rsidRPr="00927915" w:rsidRDefault="00375625" w:rsidP="00CA6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Projekcija </w:t>
            </w:r>
            <w:r w:rsidR="003F577B" w:rsidRPr="009279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577B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7" w:type="dxa"/>
            <w:shd w:val="clear" w:color="auto" w:fill="D0CECE" w:themeFill="background2" w:themeFillShade="E6"/>
            <w:vAlign w:val="center"/>
          </w:tcPr>
          <w:p w:rsidR="003F577B" w:rsidRPr="00927915" w:rsidRDefault="003F577B" w:rsidP="00CA6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Indeks 2</w:t>
            </w:r>
            <w:r w:rsidR="003756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37562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75B" w:rsidRPr="00927915" w:rsidTr="00403AC4">
        <w:tc>
          <w:tcPr>
            <w:tcW w:w="1767" w:type="dxa"/>
          </w:tcPr>
          <w:p w:rsidR="009A0865" w:rsidRDefault="003F577B" w:rsidP="00A736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A679088</w:t>
            </w:r>
            <w:r w:rsidR="009A0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577B" w:rsidRPr="009A0865" w:rsidRDefault="003F577B" w:rsidP="009A0865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65">
              <w:rPr>
                <w:rFonts w:ascii="Times New Roman" w:hAnsi="Times New Roman" w:cs="Times New Roman"/>
                <w:sz w:val="24"/>
                <w:szCs w:val="24"/>
              </w:rPr>
              <w:t>izvor 31</w:t>
            </w:r>
          </w:p>
        </w:tc>
        <w:tc>
          <w:tcPr>
            <w:tcW w:w="1234" w:type="dxa"/>
          </w:tcPr>
          <w:p w:rsidR="003F577B" w:rsidRPr="00927915" w:rsidRDefault="003F577B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77B" w:rsidRPr="00927915" w:rsidRDefault="004A4710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2.909.012</w:t>
            </w:r>
          </w:p>
        </w:tc>
        <w:tc>
          <w:tcPr>
            <w:tcW w:w="1220" w:type="dxa"/>
          </w:tcPr>
          <w:p w:rsidR="003F577B" w:rsidRPr="00927915" w:rsidRDefault="003F577B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77B" w:rsidRPr="00927915" w:rsidRDefault="004A4710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2.670.663</w:t>
            </w:r>
          </w:p>
        </w:tc>
        <w:tc>
          <w:tcPr>
            <w:tcW w:w="1220" w:type="dxa"/>
          </w:tcPr>
          <w:p w:rsidR="003F577B" w:rsidRPr="00927915" w:rsidRDefault="003F577B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77B" w:rsidRPr="00927915" w:rsidRDefault="004A4710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2.847.273</w:t>
            </w:r>
          </w:p>
        </w:tc>
        <w:tc>
          <w:tcPr>
            <w:tcW w:w="1204" w:type="dxa"/>
          </w:tcPr>
          <w:p w:rsidR="003F577B" w:rsidRPr="00927915" w:rsidRDefault="003F577B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77B" w:rsidRPr="00927915" w:rsidRDefault="004A4710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2.862.189</w:t>
            </w:r>
          </w:p>
        </w:tc>
        <w:tc>
          <w:tcPr>
            <w:tcW w:w="1220" w:type="dxa"/>
          </w:tcPr>
          <w:p w:rsidR="003F577B" w:rsidRPr="00927915" w:rsidRDefault="003F577B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75B" w:rsidRPr="00927915" w:rsidRDefault="004A4710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2.901.646</w:t>
            </w:r>
          </w:p>
        </w:tc>
        <w:tc>
          <w:tcPr>
            <w:tcW w:w="1197" w:type="dxa"/>
          </w:tcPr>
          <w:p w:rsidR="003F577B" w:rsidRPr="00927915" w:rsidRDefault="003F577B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77B" w:rsidRPr="00927915" w:rsidRDefault="00B86C28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106,61</w:t>
            </w:r>
          </w:p>
        </w:tc>
      </w:tr>
      <w:tr w:rsidR="00375625" w:rsidRPr="00927915" w:rsidTr="00403AC4">
        <w:tc>
          <w:tcPr>
            <w:tcW w:w="1767" w:type="dxa"/>
          </w:tcPr>
          <w:p w:rsidR="009A0865" w:rsidRDefault="009A0865" w:rsidP="00A736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A679078</w:t>
            </w:r>
          </w:p>
          <w:p w:rsidR="00375625" w:rsidRPr="009A0865" w:rsidRDefault="00375625" w:rsidP="009A0865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izvor 31</w:t>
            </w:r>
          </w:p>
        </w:tc>
        <w:tc>
          <w:tcPr>
            <w:tcW w:w="1234" w:type="dxa"/>
          </w:tcPr>
          <w:p w:rsidR="00375625" w:rsidRPr="00927915" w:rsidRDefault="00375625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75625" w:rsidRPr="00927915" w:rsidRDefault="00375625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75625" w:rsidRDefault="00375625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10" w:rsidRPr="00927915" w:rsidRDefault="004A4710" w:rsidP="004A471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31.807</w:t>
            </w:r>
          </w:p>
        </w:tc>
        <w:tc>
          <w:tcPr>
            <w:tcW w:w="1204" w:type="dxa"/>
          </w:tcPr>
          <w:p w:rsidR="00375625" w:rsidRPr="00927915" w:rsidRDefault="00375625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375625" w:rsidRPr="00927915" w:rsidRDefault="00375625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375625" w:rsidRDefault="00375625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710" w:rsidRPr="00927915" w:rsidRDefault="004A4710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3F577B" w:rsidRPr="00927915" w:rsidRDefault="003F577B" w:rsidP="00CA622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F577B" w:rsidRPr="00927915" w:rsidRDefault="003F577B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27915">
        <w:rPr>
          <w:rFonts w:ascii="Times New Roman" w:hAnsi="Times New Roman" w:cs="Times New Roman"/>
          <w:sz w:val="24"/>
          <w:szCs w:val="24"/>
          <w:lang w:val="pl-PL"/>
        </w:rPr>
        <w:t>Istom strateškom cilju namjenjeni su i tzv. vlastiti prihodi fakulteta ostvareni na tržištu te su usmjereni kao dopunski izvor financir</w:t>
      </w:r>
      <w:r w:rsidR="00026F7E">
        <w:rPr>
          <w:rFonts w:ascii="Times New Roman" w:hAnsi="Times New Roman" w:cs="Times New Roman"/>
          <w:sz w:val="24"/>
          <w:szCs w:val="24"/>
          <w:lang w:val="pl-PL"/>
        </w:rPr>
        <w:t>anja proračunskim sredstvima. T</w:t>
      </w:r>
      <w:r w:rsidRPr="00927915">
        <w:rPr>
          <w:rFonts w:ascii="Times New Roman" w:hAnsi="Times New Roman" w:cs="Times New Roman"/>
          <w:sz w:val="24"/>
          <w:szCs w:val="24"/>
          <w:lang w:val="pl-PL"/>
        </w:rPr>
        <w:t xml:space="preserve">o je u suglasju s polaznim osnovama sustava financiranja unutar Sveučilišta te na tragu pronalaženja optimalne kombinacije udjela države i tržišta u ostvarivanju razvojnih ciljeva u visokom obrazovanju. </w:t>
      </w:r>
    </w:p>
    <w:p w:rsidR="003F577B" w:rsidRPr="00927915" w:rsidRDefault="003F577B" w:rsidP="00CA622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915">
        <w:rPr>
          <w:rFonts w:ascii="Times New Roman" w:hAnsi="Times New Roman" w:cs="Times New Roman"/>
          <w:color w:val="000000"/>
          <w:sz w:val="24"/>
          <w:szCs w:val="24"/>
        </w:rPr>
        <w:t>Kako su sredstva iz proračuna dostatna isključivo za rashode za zaposlene i jedan dio materijalnih rashoda, Fakultet</w:t>
      </w:r>
      <w:r w:rsidR="00A13D75" w:rsidRPr="00927915">
        <w:rPr>
          <w:rFonts w:ascii="Times New Roman" w:hAnsi="Times New Roman" w:cs="Times New Roman"/>
          <w:color w:val="000000"/>
          <w:sz w:val="24"/>
          <w:szCs w:val="24"/>
        </w:rPr>
        <w:t xml:space="preserve"> pored pokrića režijskih troškova,</w:t>
      </w:r>
      <w:r w:rsidRPr="00927915">
        <w:rPr>
          <w:rFonts w:ascii="Times New Roman" w:hAnsi="Times New Roman" w:cs="Times New Roman"/>
          <w:color w:val="000000"/>
          <w:sz w:val="24"/>
          <w:szCs w:val="24"/>
        </w:rPr>
        <w:t xml:space="preserve"> gotovo 35% tržišnih prihoda izdvaja i troši u svrhu obnavljanja i osuvremenjivanja  prostora i opreme za nastavnu, istr</w:t>
      </w:r>
      <w:r w:rsidR="00A13D75" w:rsidRPr="00927915">
        <w:rPr>
          <w:rFonts w:ascii="Times New Roman" w:hAnsi="Times New Roman" w:cs="Times New Roman"/>
          <w:color w:val="000000"/>
          <w:sz w:val="24"/>
          <w:szCs w:val="24"/>
        </w:rPr>
        <w:t>aživačku i stručnu djelatnost.</w:t>
      </w:r>
    </w:p>
    <w:p w:rsidR="003F577B" w:rsidRPr="00927915" w:rsidRDefault="003F577B" w:rsidP="00CA622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915">
        <w:rPr>
          <w:rFonts w:ascii="Times New Roman" w:hAnsi="Times New Roman" w:cs="Times New Roman"/>
          <w:color w:val="000000"/>
          <w:sz w:val="24"/>
          <w:szCs w:val="24"/>
        </w:rPr>
        <w:t>Fakultet tržišne prihode suradnje s građanstvom i privredom slobodno ostvaruje bez utjecaja vanjskih čimbenika, dok u dijelu prihoda školarina za poslijediplomsku nastavu utjecaj ima broj prijavljenih polaznika po raspisanom natječaju.</w:t>
      </w:r>
    </w:p>
    <w:p w:rsidR="003F577B" w:rsidRPr="00927915" w:rsidRDefault="003F577B" w:rsidP="00CA622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915">
        <w:rPr>
          <w:rFonts w:ascii="Times New Roman" w:hAnsi="Times New Roman" w:cs="Times New Roman"/>
          <w:color w:val="000000"/>
          <w:sz w:val="24"/>
          <w:szCs w:val="24"/>
        </w:rPr>
        <w:t>Iako prihodi vl</w:t>
      </w:r>
      <w:r w:rsidR="00817025">
        <w:rPr>
          <w:rFonts w:ascii="Times New Roman" w:hAnsi="Times New Roman" w:cs="Times New Roman"/>
          <w:color w:val="000000"/>
          <w:sz w:val="24"/>
          <w:szCs w:val="24"/>
        </w:rPr>
        <w:t>astite djelatnosti čine svega 19</w:t>
      </w:r>
      <w:r w:rsidRPr="00927915">
        <w:rPr>
          <w:rFonts w:ascii="Times New Roman" w:hAnsi="Times New Roman" w:cs="Times New Roman"/>
          <w:color w:val="000000"/>
          <w:sz w:val="24"/>
          <w:szCs w:val="24"/>
        </w:rPr>
        <w:t>% ukupnih prihoda jedan su od najvažnijih prihoda u osuvremenjivanju nastavnog prostora i opreme, kao i stručnom usavršavanju nastavnog i pratećeg  osoblja.</w:t>
      </w:r>
    </w:p>
    <w:p w:rsidR="00721F13" w:rsidRPr="007D0622" w:rsidRDefault="00721F13" w:rsidP="00CA622B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0622">
        <w:rPr>
          <w:rFonts w:ascii="Times New Roman" w:hAnsi="Times New Roman" w:cs="Times New Roman"/>
          <w:i/>
          <w:sz w:val="24"/>
          <w:szCs w:val="24"/>
        </w:rPr>
        <w:t>Ishodište i pokazatelji na kojima se zasnivaju izračuni – Vlastiti prihodi</w:t>
      </w:r>
    </w:p>
    <w:p w:rsidR="00721F13" w:rsidRPr="007D0622" w:rsidRDefault="00721F13" w:rsidP="00CA62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0622">
        <w:rPr>
          <w:rFonts w:ascii="Times New Roman" w:hAnsi="Times New Roman" w:cs="Times New Roman"/>
          <w:i/>
          <w:color w:val="000000"/>
          <w:sz w:val="24"/>
          <w:szCs w:val="24"/>
        </w:rPr>
        <w:t>Vlastiti prihodi za 20</w:t>
      </w:r>
      <w:r w:rsidR="00B86C28">
        <w:rPr>
          <w:rFonts w:ascii="Times New Roman" w:hAnsi="Times New Roman" w:cs="Times New Roman"/>
          <w:i/>
          <w:color w:val="000000"/>
          <w:sz w:val="24"/>
          <w:szCs w:val="24"/>
        </w:rPr>
        <w:t>24</w:t>
      </w:r>
      <w:r w:rsidR="003C2B28" w:rsidRPr="007D0622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="00B86C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godinu  u iznosu od 2.847.273</w:t>
      </w:r>
      <w:r w:rsidR="000F275B" w:rsidRPr="007D06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eura</w:t>
      </w:r>
      <w:r w:rsidRPr="007D06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planirani su za pokriće troškova koji nastanu obavljanjem poslova liječenja životinja na klinikama prema procjeni broja pacijenata prethodne godine kao i ugovornim obavezama sa privredom</w:t>
      </w:r>
      <w:r w:rsidR="000F275B" w:rsidRPr="007D0622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7D06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 sukladno potpisanim ugovorima na bazi vrsta i količina roba i usluga.</w:t>
      </w:r>
    </w:p>
    <w:p w:rsidR="003F577B" w:rsidRPr="00927915" w:rsidRDefault="003F577B" w:rsidP="00CA62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4AF" w:rsidRPr="00927915" w:rsidRDefault="00927915" w:rsidP="00CA622B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4002183"/>
      <w:r w:rsidRPr="00927915">
        <w:rPr>
          <w:rFonts w:ascii="Times New Roman" w:hAnsi="Times New Roman" w:cs="Times New Roman"/>
          <w:sz w:val="24"/>
          <w:szCs w:val="24"/>
        </w:rPr>
        <w:t>1.2</w:t>
      </w:r>
      <w:r w:rsidR="009024AF" w:rsidRPr="00927915">
        <w:rPr>
          <w:rFonts w:ascii="Times New Roman" w:hAnsi="Times New Roman" w:cs="Times New Roman"/>
          <w:sz w:val="24"/>
          <w:szCs w:val="24"/>
        </w:rPr>
        <w:t>. Obrazloženje programa- Prihodi za posebne namjene:</w:t>
      </w:r>
      <w:bookmarkEnd w:id="0"/>
      <w:r w:rsidR="00A02624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9024AF" w:rsidRPr="00927915">
        <w:rPr>
          <w:rFonts w:ascii="Times New Roman" w:hAnsi="Times New Roman" w:cs="Times New Roman"/>
          <w:sz w:val="24"/>
          <w:szCs w:val="24"/>
        </w:rPr>
        <w:t xml:space="preserve">prihodi od sufinanciranja </w:t>
      </w:r>
      <w:r w:rsidR="00A02624" w:rsidRPr="00927915">
        <w:rPr>
          <w:rFonts w:ascii="Times New Roman" w:hAnsi="Times New Roman" w:cs="Times New Roman"/>
          <w:sz w:val="24"/>
          <w:szCs w:val="24"/>
        </w:rPr>
        <w:t xml:space="preserve">cijene participacije školarina </w:t>
      </w:r>
      <w:r w:rsidRPr="00927915">
        <w:rPr>
          <w:rFonts w:ascii="Times New Roman" w:hAnsi="Times New Roman" w:cs="Times New Roman"/>
          <w:sz w:val="24"/>
          <w:szCs w:val="24"/>
        </w:rPr>
        <w:t xml:space="preserve"> - izvor 43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1234"/>
        <w:gridCol w:w="1220"/>
        <w:gridCol w:w="1220"/>
        <w:gridCol w:w="1204"/>
        <w:gridCol w:w="1220"/>
        <w:gridCol w:w="1197"/>
      </w:tblGrid>
      <w:tr w:rsidR="00A37531" w:rsidRPr="00927915" w:rsidTr="00403AC4">
        <w:tc>
          <w:tcPr>
            <w:tcW w:w="1767" w:type="dxa"/>
            <w:shd w:val="clear" w:color="auto" w:fill="D0CECE" w:themeFill="background2" w:themeFillShade="E6"/>
          </w:tcPr>
          <w:p w:rsidR="009024AF" w:rsidRPr="00927915" w:rsidRDefault="009024AF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4AF" w:rsidRPr="00927915" w:rsidRDefault="009024AF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D0CECE" w:themeFill="background2" w:themeFillShade="E6"/>
            <w:vAlign w:val="center"/>
          </w:tcPr>
          <w:p w:rsidR="009024AF" w:rsidRPr="00927915" w:rsidRDefault="009A0865" w:rsidP="00CA6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2022</w:t>
            </w:r>
            <w:r w:rsidR="009024AF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:rsidR="009024AF" w:rsidRPr="00927915" w:rsidRDefault="009024AF" w:rsidP="00CA6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Plan 20</w:t>
            </w:r>
            <w:r w:rsidR="009A08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:rsidR="009024AF" w:rsidRPr="00927915" w:rsidRDefault="009024AF" w:rsidP="00CA6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9A0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shd w:val="clear" w:color="auto" w:fill="D0CECE" w:themeFill="background2" w:themeFillShade="E6"/>
            <w:vAlign w:val="center"/>
          </w:tcPr>
          <w:p w:rsidR="009024AF" w:rsidRPr="00927915" w:rsidRDefault="009A0865" w:rsidP="00CA6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</w:t>
            </w:r>
            <w:r w:rsidR="009024AF" w:rsidRPr="0092791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24AF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:rsidR="009024AF" w:rsidRPr="00927915" w:rsidRDefault="009A0865" w:rsidP="00CA6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</w:t>
            </w:r>
            <w:r w:rsidR="009024AF" w:rsidRPr="0092791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024AF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7" w:type="dxa"/>
            <w:shd w:val="clear" w:color="auto" w:fill="D0CECE" w:themeFill="background2" w:themeFillShade="E6"/>
            <w:vAlign w:val="center"/>
          </w:tcPr>
          <w:p w:rsidR="009024AF" w:rsidRPr="00927915" w:rsidRDefault="009024AF" w:rsidP="00CA6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Indeks 2</w:t>
            </w:r>
            <w:r w:rsidR="009A0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9A086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7531" w:rsidRPr="00927915" w:rsidTr="00403AC4">
        <w:tc>
          <w:tcPr>
            <w:tcW w:w="1767" w:type="dxa"/>
          </w:tcPr>
          <w:p w:rsidR="009A0865" w:rsidRDefault="009024AF" w:rsidP="00A736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A679088</w:t>
            </w:r>
            <w:r w:rsidR="009A0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4AF" w:rsidRPr="009A0865" w:rsidRDefault="00A7360C" w:rsidP="009A0865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865">
              <w:rPr>
                <w:rFonts w:ascii="Times New Roman" w:hAnsi="Times New Roman" w:cs="Times New Roman"/>
                <w:sz w:val="24"/>
                <w:szCs w:val="24"/>
              </w:rPr>
              <w:t>izvor 43</w:t>
            </w:r>
          </w:p>
        </w:tc>
        <w:tc>
          <w:tcPr>
            <w:tcW w:w="1234" w:type="dxa"/>
          </w:tcPr>
          <w:p w:rsidR="009024AF" w:rsidRPr="00927915" w:rsidRDefault="009024AF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65F" w:rsidRPr="00927915" w:rsidRDefault="00044865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2.148.385</w:t>
            </w:r>
          </w:p>
        </w:tc>
        <w:tc>
          <w:tcPr>
            <w:tcW w:w="1220" w:type="dxa"/>
          </w:tcPr>
          <w:p w:rsidR="009024AF" w:rsidRPr="00927915" w:rsidRDefault="009024AF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797" w:rsidRPr="00927915" w:rsidRDefault="00044865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1.894.712</w:t>
            </w:r>
          </w:p>
        </w:tc>
        <w:tc>
          <w:tcPr>
            <w:tcW w:w="1220" w:type="dxa"/>
          </w:tcPr>
          <w:p w:rsidR="009024AF" w:rsidRPr="00927915" w:rsidRDefault="009024AF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797" w:rsidRPr="00927915" w:rsidRDefault="00817025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1.723.839</w:t>
            </w:r>
          </w:p>
        </w:tc>
        <w:tc>
          <w:tcPr>
            <w:tcW w:w="1204" w:type="dxa"/>
          </w:tcPr>
          <w:p w:rsidR="009024AF" w:rsidRPr="00927915" w:rsidRDefault="009024AF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797" w:rsidRPr="00927915" w:rsidRDefault="00817025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1.732.286</w:t>
            </w:r>
          </w:p>
        </w:tc>
        <w:tc>
          <w:tcPr>
            <w:tcW w:w="1220" w:type="dxa"/>
          </w:tcPr>
          <w:p w:rsidR="009024AF" w:rsidRPr="00927915" w:rsidRDefault="009024AF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6797" w:rsidRPr="00927915" w:rsidRDefault="00044865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1.740.774</w:t>
            </w:r>
          </w:p>
        </w:tc>
        <w:tc>
          <w:tcPr>
            <w:tcW w:w="1197" w:type="dxa"/>
          </w:tcPr>
          <w:p w:rsidR="009024AF" w:rsidRPr="00927915" w:rsidRDefault="009024AF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57F" w:rsidRPr="00927915" w:rsidRDefault="00817025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90,98</w:t>
            </w:r>
          </w:p>
        </w:tc>
      </w:tr>
    </w:tbl>
    <w:p w:rsidR="009024AF" w:rsidRPr="00927915" w:rsidRDefault="009024AF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4AF" w:rsidRPr="00927915" w:rsidRDefault="009024AF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lastRenderedPageBreak/>
        <w:t xml:space="preserve">Navedeni prihodi i troškovi u dijelu sufinanciranja cijene </w:t>
      </w:r>
      <w:r w:rsidR="00044865">
        <w:rPr>
          <w:rFonts w:ascii="Times New Roman" w:hAnsi="Times New Roman" w:cs="Times New Roman"/>
          <w:sz w:val="24"/>
          <w:szCs w:val="24"/>
        </w:rPr>
        <w:t xml:space="preserve">participacije školarina planirani </w:t>
      </w:r>
      <w:r w:rsidRPr="00927915">
        <w:rPr>
          <w:rFonts w:ascii="Times New Roman" w:hAnsi="Times New Roman" w:cs="Times New Roman"/>
          <w:sz w:val="24"/>
          <w:szCs w:val="24"/>
        </w:rPr>
        <w:t>su za</w:t>
      </w:r>
      <w:r w:rsidR="00993503" w:rsidRPr="00927915">
        <w:rPr>
          <w:rFonts w:ascii="Times New Roman" w:hAnsi="Times New Roman" w:cs="Times New Roman"/>
          <w:sz w:val="24"/>
          <w:szCs w:val="24"/>
        </w:rPr>
        <w:t xml:space="preserve"> prihode</w:t>
      </w:r>
      <w:r w:rsidRPr="00927915">
        <w:rPr>
          <w:rFonts w:ascii="Times New Roman" w:hAnsi="Times New Roman" w:cs="Times New Roman"/>
          <w:sz w:val="24"/>
          <w:szCs w:val="24"/>
        </w:rPr>
        <w:t xml:space="preserve"> studija </w:t>
      </w:r>
      <w:r w:rsidR="00993503" w:rsidRPr="00927915">
        <w:rPr>
          <w:rFonts w:ascii="Times New Roman" w:hAnsi="Times New Roman" w:cs="Times New Roman"/>
          <w:sz w:val="24"/>
          <w:szCs w:val="24"/>
        </w:rPr>
        <w:t xml:space="preserve">veterinarske medicine na </w:t>
      </w:r>
      <w:r w:rsidR="00044865">
        <w:rPr>
          <w:rFonts w:ascii="Times New Roman" w:hAnsi="Times New Roman" w:cs="Times New Roman"/>
          <w:sz w:val="24"/>
          <w:szCs w:val="24"/>
        </w:rPr>
        <w:t xml:space="preserve">hrvatskom i </w:t>
      </w:r>
      <w:r w:rsidR="00993503" w:rsidRPr="00927915">
        <w:rPr>
          <w:rFonts w:ascii="Times New Roman" w:hAnsi="Times New Roman" w:cs="Times New Roman"/>
          <w:sz w:val="24"/>
          <w:szCs w:val="24"/>
        </w:rPr>
        <w:t>engleskom jeziku</w:t>
      </w:r>
      <w:r w:rsidR="00044865">
        <w:rPr>
          <w:rFonts w:ascii="Times New Roman" w:hAnsi="Times New Roman" w:cs="Times New Roman"/>
          <w:sz w:val="24"/>
          <w:szCs w:val="24"/>
        </w:rPr>
        <w:t>.</w:t>
      </w:r>
      <w:r w:rsidR="00F86A9C" w:rsidRPr="00927915">
        <w:rPr>
          <w:rFonts w:ascii="Times New Roman" w:hAnsi="Times New Roman" w:cs="Times New Roman"/>
          <w:sz w:val="24"/>
          <w:szCs w:val="24"/>
        </w:rPr>
        <w:t>.</w:t>
      </w:r>
    </w:p>
    <w:p w:rsidR="00993503" w:rsidRPr="007D0622" w:rsidRDefault="00993503" w:rsidP="00CA622B">
      <w:pPr>
        <w:spacing w:before="100" w:beforeAutospacing="1" w:after="100" w:afterAutospacing="1" w:line="36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0622">
        <w:rPr>
          <w:rFonts w:ascii="Times New Roman" w:hAnsi="Times New Roman" w:cs="Times New Roman"/>
          <w:i/>
          <w:sz w:val="24"/>
          <w:szCs w:val="24"/>
        </w:rPr>
        <w:t>Ishodište i pokazatelji na kojima se zasnivaju izračuni – Prihodi za posebne namjene</w:t>
      </w:r>
    </w:p>
    <w:p w:rsidR="00993503" w:rsidRPr="007D0622" w:rsidRDefault="00993503" w:rsidP="00CA62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D0622">
        <w:rPr>
          <w:rFonts w:ascii="Times New Roman" w:hAnsi="Times New Roman" w:cs="Times New Roman"/>
          <w:i/>
          <w:color w:val="000000"/>
          <w:sz w:val="24"/>
          <w:szCs w:val="24"/>
        </w:rPr>
        <w:t>Prihodi od</w:t>
      </w:r>
      <w:r w:rsidRPr="007D0622">
        <w:rPr>
          <w:rFonts w:ascii="Times New Roman" w:hAnsi="Times New Roman" w:cs="Times New Roman"/>
          <w:i/>
          <w:sz w:val="24"/>
          <w:szCs w:val="24"/>
        </w:rPr>
        <w:t xml:space="preserve"> sufinanciranja cijene participacije školarina</w:t>
      </w:r>
      <w:r w:rsidR="000448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u za 2024. godinu iznosu od 1.723.839</w:t>
      </w:r>
      <w:r w:rsidR="00993533" w:rsidRPr="007D06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eura</w:t>
      </w:r>
      <w:r w:rsidRPr="007D06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planirani temeljem procjene broja upisa studenta u I do V</w:t>
      </w:r>
      <w:r w:rsidR="00A02624" w:rsidRPr="007D0622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7D06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godinu studija na engleskom jeziku kao i učešća redovitih studenata u participacijama na bazi prosjeka prethodne godine. </w:t>
      </w:r>
      <w:r w:rsidR="00993533" w:rsidRPr="007D06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Prihodi za posebne namjene su planirani za pokriće troškova održavanja nastave na engleskom studiju kao i pokrića dijela troškova održavanja opreme i zgrada. </w:t>
      </w:r>
      <w:r w:rsidR="0009185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Smanjenje planiranja sredstva za 2024.g. u odnosu na prethodnu godinu iz razloga što je u 2023.g. </w:t>
      </w:r>
      <w:r w:rsidR="00993533" w:rsidRPr="007D062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planira</w:t>
      </w:r>
      <w:r w:rsidR="0009185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na </w:t>
      </w:r>
      <w:r w:rsidR="00993533" w:rsidRPr="007D0622">
        <w:rPr>
          <w:rFonts w:ascii="Times New Roman" w:hAnsi="Times New Roman" w:cs="Times New Roman"/>
          <w:i/>
          <w:color w:val="000000"/>
          <w:sz w:val="24"/>
          <w:szCs w:val="24"/>
        </w:rPr>
        <w:t>otplata preostalog dijela kratkoročnog kredita podignutog 2022. godine za podmirenje rashoda za isplatu plaća po pravomoćnoj i ovršnoj presudi iz radnog spora pokrenutog 1994. godine u iznosu 530.891 eura.</w:t>
      </w:r>
    </w:p>
    <w:p w:rsidR="00BE2B24" w:rsidRPr="00927915" w:rsidRDefault="00927915" w:rsidP="0092791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1.3</w:t>
      </w:r>
      <w:r w:rsidR="00BE2B24" w:rsidRPr="00927915">
        <w:rPr>
          <w:rFonts w:ascii="Times New Roman" w:hAnsi="Times New Roman" w:cs="Times New Roman"/>
          <w:sz w:val="24"/>
          <w:szCs w:val="24"/>
        </w:rPr>
        <w:t>. Obrazloženje programa- Ostale pomoći: prijenosi između proračunskih korisnika</w:t>
      </w:r>
      <w:r w:rsidRPr="00927915">
        <w:rPr>
          <w:rFonts w:ascii="Times New Roman" w:hAnsi="Times New Roman" w:cs="Times New Roman"/>
          <w:sz w:val="24"/>
          <w:szCs w:val="24"/>
        </w:rPr>
        <w:t xml:space="preserve"> – izvor 52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1234"/>
        <w:gridCol w:w="1220"/>
        <w:gridCol w:w="1220"/>
        <w:gridCol w:w="1204"/>
        <w:gridCol w:w="1220"/>
        <w:gridCol w:w="1197"/>
      </w:tblGrid>
      <w:tr w:rsidR="00BE2B24" w:rsidRPr="00927915" w:rsidTr="0014371B">
        <w:tc>
          <w:tcPr>
            <w:tcW w:w="1767" w:type="dxa"/>
            <w:shd w:val="clear" w:color="auto" w:fill="D0CECE" w:themeFill="background2" w:themeFillShade="E6"/>
          </w:tcPr>
          <w:p w:rsidR="00BE2B24" w:rsidRPr="00927915" w:rsidRDefault="00BE2B24" w:rsidP="001437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B24" w:rsidRPr="00927915" w:rsidRDefault="00BE2B24" w:rsidP="0014371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shd w:val="clear" w:color="auto" w:fill="D0CECE" w:themeFill="background2" w:themeFillShade="E6"/>
            <w:vAlign w:val="center"/>
          </w:tcPr>
          <w:p w:rsidR="00BE2B24" w:rsidRPr="00927915" w:rsidRDefault="00306AB8" w:rsidP="001437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2022</w:t>
            </w:r>
            <w:r w:rsidR="00BE2B24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:rsidR="00BE2B24" w:rsidRPr="00927915" w:rsidRDefault="00306AB8" w:rsidP="001437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2023</w:t>
            </w:r>
            <w:r w:rsidR="00BE2B24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:rsidR="00BE2B24" w:rsidRPr="00927915" w:rsidRDefault="00306AB8" w:rsidP="001437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2024</w:t>
            </w:r>
            <w:r w:rsidR="00BE2B24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4" w:type="dxa"/>
            <w:shd w:val="clear" w:color="auto" w:fill="D0CECE" w:themeFill="background2" w:themeFillShade="E6"/>
            <w:vAlign w:val="center"/>
          </w:tcPr>
          <w:p w:rsidR="00BE2B24" w:rsidRPr="00927915" w:rsidRDefault="00306AB8" w:rsidP="001437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2025</w:t>
            </w:r>
            <w:r w:rsidR="00BE2B24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:rsidR="00BE2B24" w:rsidRPr="00927915" w:rsidRDefault="00306AB8" w:rsidP="001437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 2026</w:t>
            </w:r>
            <w:r w:rsidR="00BE2B24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7" w:type="dxa"/>
            <w:shd w:val="clear" w:color="auto" w:fill="D0CECE" w:themeFill="background2" w:themeFillShade="E6"/>
            <w:vAlign w:val="center"/>
          </w:tcPr>
          <w:p w:rsidR="00BE2B24" w:rsidRPr="00927915" w:rsidRDefault="00306AB8" w:rsidP="0014371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Indeks 24./23</w:t>
            </w:r>
            <w:r w:rsidR="00BE2B24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2B24" w:rsidRPr="00927915" w:rsidTr="0014371B">
        <w:tc>
          <w:tcPr>
            <w:tcW w:w="1767" w:type="dxa"/>
          </w:tcPr>
          <w:p w:rsidR="00306AB8" w:rsidRDefault="00306AB8" w:rsidP="0014371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A679088</w:t>
            </w:r>
          </w:p>
          <w:p w:rsidR="00BE2B24" w:rsidRPr="00306AB8" w:rsidRDefault="00BE2B24" w:rsidP="00306AB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6AB8">
              <w:rPr>
                <w:rFonts w:ascii="Times New Roman" w:hAnsi="Times New Roman" w:cs="Times New Roman"/>
                <w:sz w:val="24"/>
                <w:szCs w:val="24"/>
              </w:rPr>
              <w:t>izvor 52</w:t>
            </w:r>
          </w:p>
        </w:tc>
        <w:tc>
          <w:tcPr>
            <w:tcW w:w="1234" w:type="dxa"/>
          </w:tcPr>
          <w:p w:rsidR="00BE2B24" w:rsidRPr="00927915" w:rsidRDefault="00BE2B24" w:rsidP="00306AB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B24" w:rsidRPr="00927915" w:rsidRDefault="00306AB8" w:rsidP="00306AB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237.562</w:t>
            </w:r>
          </w:p>
        </w:tc>
        <w:tc>
          <w:tcPr>
            <w:tcW w:w="1220" w:type="dxa"/>
          </w:tcPr>
          <w:p w:rsidR="00BE2B24" w:rsidRPr="00927915" w:rsidRDefault="00BE2B24" w:rsidP="00306AB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B24" w:rsidRPr="00927915" w:rsidRDefault="00306AB8" w:rsidP="00306AB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502.230</w:t>
            </w:r>
          </w:p>
        </w:tc>
        <w:tc>
          <w:tcPr>
            <w:tcW w:w="1220" w:type="dxa"/>
          </w:tcPr>
          <w:p w:rsidR="00BE2B24" w:rsidRPr="003F6B2A" w:rsidRDefault="00BE2B24" w:rsidP="00306AB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B24" w:rsidRPr="003F6B2A" w:rsidRDefault="003F6B2A" w:rsidP="00306AB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B2A">
              <w:rPr>
                <w:rFonts w:ascii="Times New Roman" w:hAnsi="Times New Roman" w:cs="Times New Roman"/>
                <w:sz w:val="24"/>
                <w:szCs w:val="24"/>
              </w:rPr>
              <w:t>476.985</w:t>
            </w:r>
          </w:p>
        </w:tc>
        <w:tc>
          <w:tcPr>
            <w:tcW w:w="1204" w:type="dxa"/>
          </w:tcPr>
          <w:p w:rsidR="00BE2B24" w:rsidRPr="003F6B2A" w:rsidRDefault="00BE2B24" w:rsidP="00306AB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B24" w:rsidRPr="003F6B2A" w:rsidRDefault="003F6B2A" w:rsidP="00306AB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B2A">
              <w:rPr>
                <w:rFonts w:ascii="Times New Roman" w:hAnsi="Times New Roman" w:cs="Times New Roman"/>
                <w:sz w:val="24"/>
                <w:szCs w:val="24"/>
              </w:rPr>
              <w:t>453.985</w:t>
            </w:r>
          </w:p>
        </w:tc>
        <w:tc>
          <w:tcPr>
            <w:tcW w:w="1220" w:type="dxa"/>
          </w:tcPr>
          <w:p w:rsidR="00BE2B24" w:rsidRPr="003F6B2A" w:rsidRDefault="00BE2B24" w:rsidP="00306AB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B24" w:rsidRPr="003F6B2A" w:rsidRDefault="003F6B2A" w:rsidP="00306AB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B2A">
              <w:rPr>
                <w:rFonts w:ascii="Times New Roman" w:hAnsi="Times New Roman" w:cs="Times New Roman"/>
                <w:sz w:val="24"/>
                <w:szCs w:val="24"/>
              </w:rPr>
              <w:t>453.985</w:t>
            </w:r>
          </w:p>
        </w:tc>
        <w:tc>
          <w:tcPr>
            <w:tcW w:w="1197" w:type="dxa"/>
          </w:tcPr>
          <w:p w:rsidR="00BE2B24" w:rsidRPr="003F6B2A" w:rsidRDefault="00BE2B24" w:rsidP="0014371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2B24" w:rsidRPr="003F6B2A" w:rsidRDefault="003F6B2A" w:rsidP="0014371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6B2A">
              <w:rPr>
                <w:rFonts w:ascii="Times New Roman" w:hAnsi="Times New Roman" w:cs="Times New Roman"/>
                <w:sz w:val="24"/>
                <w:szCs w:val="24"/>
              </w:rPr>
              <w:t>94,97</w:t>
            </w:r>
          </w:p>
        </w:tc>
      </w:tr>
    </w:tbl>
    <w:p w:rsidR="00D809F4" w:rsidRDefault="00993503" w:rsidP="00CA62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7915">
        <w:rPr>
          <w:rFonts w:ascii="Times New Roman" w:hAnsi="Times New Roman" w:cs="Times New Roman"/>
          <w:color w:val="000000"/>
          <w:sz w:val="24"/>
          <w:szCs w:val="24"/>
        </w:rPr>
        <w:t>Prihodi od HZZ</w:t>
      </w:r>
      <w:r w:rsidR="00672595" w:rsidRPr="0092791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927915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="00D809F4">
        <w:rPr>
          <w:rFonts w:ascii="Times New Roman" w:hAnsi="Times New Roman" w:cs="Times New Roman"/>
          <w:color w:val="000000"/>
          <w:sz w:val="24"/>
          <w:szCs w:val="24"/>
        </w:rPr>
        <w:t xml:space="preserve"> 2024</w:t>
      </w:r>
      <w:r w:rsidR="00672595" w:rsidRPr="00927915">
        <w:rPr>
          <w:rFonts w:ascii="Times New Roman" w:hAnsi="Times New Roman" w:cs="Times New Roman"/>
          <w:color w:val="000000"/>
          <w:sz w:val="24"/>
          <w:szCs w:val="24"/>
        </w:rPr>
        <w:t>.godini u</w:t>
      </w:r>
      <w:r w:rsidR="00D809F4">
        <w:rPr>
          <w:rFonts w:ascii="Times New Roman" w:hAnsi="Times New Roman" w:cs="Times New Roman"/>
          <w:color w:val="000000"/>
          <w:sz w:val="24"/>
          <w:szCs w:val="24"/>
        </w:rPr>
        <w:t xml:space="preserve"> iznosu od 23.000</w:t>
      </w:r>
      <w:r w:rsidR="00155697" w:rsidRPr="00927915">
        <w:rPr>
          <w:rFonts w:ascii="Times New Roman" w:hAnsi="Times New Roman" w:cs="Times New Roman"/>
          <w:color w:val="000000"/>
          <w:sz w:val="24"/>
          <w:szCs w:val="24"/>
        </w:rPr>
        <w:t xml:space="preserve"> eura</w:t>
      </w:r>
      <w:r w:rsidRPr="00927915">
        <w:rPr>
          <w:rFonts w:ascii="Times New Roman" w:hAnsi="Times New Roman" w:cs="Times New Roman"/>
          <w:color w:val="000000"/>
          <w:sz w:val="24"/>
          <w:szCs w:val="24"/>
        </w:rPr>
        <w:t xml:space="preserve"> planirani su za pokriće troškova</w:t>
      </w:r>
      <w:r w:rsidR="003A382A">
        <w:rPr>
          <w:rFonts w:ascii="Times New Roman" w:hAnsi="Times New Roman" w:cs="Times New Roman"/>
          <w:color w:val="000000"/>
          <w:sz w:val="24"/>
          <w:szCs w:val="24"/>
        </w:rPr>
        <w:t xml:space="preserve"> a aktivnosti A557042 Program doktoranada i poslijedoktoranada HRZZ</w:t>
      </w:r>
      <w:r w:rsidR="00F86A9C" w:rsidRPr="0092791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809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93503" w:rsidRDefault="00D809F4" w:rsidP="00CA62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istom izvoru planirana su sredstva od Ministarstva gospodarstva i održivog razvoja u visini od 16.000 eura u planu za 2024.g. te u projekcijama za 2025.g. i 2026.g. za rad oporavilišta za divlje životinje.</w:t>
      </w:r>
    </w:p>
    <w:p w:rsidR="003F6B2A" w:rsidRDefault="003F6B2A" w:rsidP="00CA62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Prihod od Ministarstva poljoprivrede za programe zdravstvene zaštite životinja planira je u iznosu 437.985 eura u 2024.g. te isti iznosi u projekcijama 2024. i 2025.g</w:t>
      </w:r>
    </w:p>
    <w:p w:rsidR="002B0C6A" w:rsidRPr="00927915" w:rsidRDefault="002B0C6A" w:rsidP="00CA62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Prihod od Ministarstva poljoprivrede za programe zdravstvene zaštite životinja planiran je u iznosu 437.985 eura u 2024. g. te isti iznosi u projekcijama 2025. i 2026. g.</w:t>
      </w:r>
    </w:p>
    <w:p w:rsidR="009337A4" w:rsidRPr="00927915" w:rsidRDefault="00672595" w:rsidP="00E07A8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1.</w:t>
      </w:r>
      <w:r w:rsidR="00216247" w:rsidRPr="00927915">
        <w:rPr>
          <w:rFonts w:ascii="Times New Roman" w:hAnsi="Times New Roman" w:cs="Times New Roman"/>
          <w:sz w:val="24"/>
          <w:szCs w:val="24"/>
        </w:rPr>
        <w:t xml:space="preserve">4. </w:t>
      </w:r>
      <w:r w:rsidRPr="00927915">
        <w:rPr>
          <w:rFonts w:ascii="Times New Roman" w:hAnsi="Times New Roman" w:cs="Times New Roman"/>
          <w:sz w:val="24"/>
          <w:szCs w:val="24"/>
        </w:rPr>
        <w:t xml:space="preserve"> Obrazloženje programa- EU projekti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186"/>
        <w:gridCol w:w="1203"/>
        <w:gridCol w:w="1120"/>
        <w:gridCol w:w="1190"/>
        <w:gridCol w:w="1351"/>
        <w:gridCol w:w="1174"/>
      </w:tblGrid>
      <w:tr w:rsidR="00233D1F" w:rsidRPr="00927915" w:rsidTr="00233D1F">
        <w:tc>
          <w:tcPr>
            <w:tcW w:w="1838" w:type="dxa"/>
            <w:shd w:val="clear" w:color="auto" w:fill="D0CECE" w:themeFill="background2" w:themeFillShade="E6"/>
          </w:tcPr>
          <w:p w:rsidR="00216247" w:rsidRPr="00927915" w:rsidRDefault="00216247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247" w:rsidRPr="00927915" w:rsidRDefault="00216247" w:rsidP="00CA622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shd w:val="clear" w:color="auto" w:fill="D0CECE" w:themeFill="background2" w:themeFillShade="E6"/>
            <w:vAlign w:val="center"/>
          </w:tcPr>
          <w:p w:rsidR="00216247" w:rsidRPr="00927915" w:rsidRDefault="00A17B71" w:rsidP="00CA6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Izvršenje 2022</w:t>
            </w:r>
            <w:r w:rsidR="00216247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shd w:val="clear" w:color="auto" w:fill="D0CECE" w:themeFill="background2" w:themeFillShade="E6"/>
            <w:vAlign w:val="center"/>
          </w:tcPr>
          <w:p w:rsidR="00216247" w:rsidRPr="00927915" w:rsidRDefault="00216247" w:rsidP="00CA6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Plan 20</w:t>
            </w:r>
            <w:r w:rsidR="00A17B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0" w:type="dxa"/>
            <w:shd w:val="clear" w:color="auto" w:fill="D0CECE" w:themeFill="background2" w:themeFillShade="E6"/>
            <w:vAlign w:val="center"/>
          </w:tcPr>
          <w:p w:rsidR="00216247" w:rsidRPr="00927915" w:rsidRDefault="00216247" w:rsidP="00CA6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A1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0" w:type="dxa"/>
            <w:shd w:val="clear" w:color="auto" w:fill="D0CECE" w:themeFill="background2" w:themeFillShade="E6"/>
            <w:vAlign w:val="center"/>
          </w:tcPr>
          <w:p w:rsidR="00216247" w:rsidRPr="00927915" w:rsidRDefault="00A17B71" w:rsidP="00CA6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</w:t>
            </w:r>
            <w:r w:rsidR="00216247" w:rsidRPr="0092791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16247"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1" w:type="dxa"/>
            <w:shd w:val="clear" w:color="auto" w:fill="D0CECE" w:themeFill="background2" w:themeFillShade="E6"/>
            <w:vAlign w:val="center"/>
          </w:tcPr>
          <w:p w:rsidR="00984066" w:rsidRDefault="00A17B71" w:rsidP="00CA6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Projekcija</w:t>
            </w:r>
            <w:r w:rsidR="00216247" w:rsidRPr="00927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247" w:rsidRPr="00927915" w:rsidRDefault="00216247" w:rsidP="00CA6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7B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4" w:type="dxa"/>
            <w:shd w:val="clear" w:color="auto" w:fill="D0CECE" w:themeFill="background2" w:themeFillShade="E6"/>
            <w:vAlign w:val="center"/>
          </w:tcPr>
          <w:p w:rsidR="00216247" w:rsidRPr="00927915" w:rsidRDefault="00216247" w:rsidP="00CA622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Indeks 2</w:t>
            </w:r>
            <w:r w:rsidR="00A17B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A17B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3D1F" w:rsidRPr="00927915" w:rsidTr="00233D1F">
        <w:trPr>
          <w:trHeight w:val="741"/>
        </w:trPr>
        <w:tc>
          <w:tcPr>
            <w:tcW w:w="1838" w:type="dxa"/>
          </w:tcPr>
          <w:p w:rsidR="000728A4" w:rsidRPr="00954958" w:rsidRDefault="00954958" w:rsidP="009549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400937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A679078 pomoći EU - </w:t>
            </w:r>
            <w:r w:rsidR="000728A4" w:rsidRPr="0095495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bookmarkEnd w:id="1"/>
          </w:p>
        </w:tc>
        <w:tc>
          <w:tcPr>
            <w:tcW w:w="1186" w:type="dxa"/>
          </w:tcPr>
          <w:p w:rsidR="000728A4" w:rsidRPr="00927915" w:rsidRDefault="000728A4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93A" w:rsidRPr="00927915" w:rsidRDefault="00C00419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139.602</w:t>
            </w:r>
          </w:p>
        </w:tc>
        <w:tc>
          <w:tcPr>
            <w:tcW w:w="1203" w:type="dxa"/>
          </w:tcPr>
          <w:p w:rsidR="000728A4" w:rsidRPr="00927915" w:rsidRDefault="000728A4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33D" w:rsidRPr="00927915" w:rsidRDefault="00C00419" w:rsidP="00611B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210.696</w:t>
            </w:r>
          </w:p>
        </w:tc>
        <w:tc>
          <w:tcPr>
            <w:tcW w:w="1120" w:type="dxa"/>
          </w:tcPr>
          <w:p w:rsidR="000728A4" w:rsidRPr="00927915" w:rsidRDefault="000728A4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BEE" w:rsidRPr="00927915" w:rsidRDefault="00C00419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79.560</w:t>
            </w:r>
          </w:p>
        </w:tc>
        <w:tc>
          <w:tcPr>
            <w:tcW w:w="1190" w:type="dxa"/>
          </w:tcPr>
          <w:p w:rsidR="00611BEE" w:rsidRPr="00927915" w:rsidRDefault="00611BEE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8A4" w:rsidRPr="00927915" w:rsidRDefault="00C00419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63.100</w:t>
            </w:r>
          </w:p>
        </w:tc>
        <w:tc>
          <w:tcPr>
            <w:tcW w:w="1351" w:type="dxa"/>
          </w:tcPr>
          <w:p w:rsidR="000728A4" w:rsidRPr="00927915" w:rsidRDefault="000728A4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BEE" w:rsidRPr="00927915" w:rsidRDefault="00C00419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82.100</w:t>
            </w:r>
          </w:p>
        </w:tc>
        <w:tc>
          <w:tcPr>
            <w:tcW w:w="1174" w:type="dxa"/>
          </w:tcPr>
          <w:p w:rsidR="000728A4" w:rsidRPr="00927915" w:rsidRDefault="000728A4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95" w:rsidRPr="00927915" w:rsidRDefault="00C00419" w:rsidP="00CA622B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37,76</w:t>
            </w:r>
          </w:p>
        </w:tc>
      </w:tr>
      <w:tr w:rsidR="00954958" w:rsidRPr="00927915" w:rsidTr="002F3D2C">
        <w:tc>
          <w:tcPr>
            <w:tcW w:w="1838" w:type="dxa"/>
          </w:tcPr>
          <w:p w:rsidR="00954958" w:rsidRDefault="00954958" w:rsidP="009549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A679078 </w:t>
            </w:r>
          </w:p>
          <w:p w:rsidR="00954958" w:rsidRPr="00954958" w:rsidRDefault="00954958" w:rsidP="009549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pomoći EU - </w:t>
            </w:r>
            <w:r w:rsidRPr="009549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86" w:type="dxa"/>
          </w:tcPr>
          <w:p w:rsidR="00954958" w:rsidRPr="00927915" w:rsidRDefault="0095495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58" w:rsidRPr="00927915" w:rsidRDefault="0095495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642.889</w:t>
            </w:r>
          </w:p>
        </w:tc>
        <w:tc>
          <w:tcPr>
            <w:tcW w:w="1203" w:type="dxa"/>
          </w:tcPr>
          <w:p w:rsidR="00954958" w:rsidRPr="00927915" w:rsidRDefault="0095495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58" w:rsidRPr="00927915" w:rsidRDefault="00954958" w:rsidP="0095495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245.335</w:t>
            </w:r>
          </w:p>
        </w:tc>
        <w:tc>
          <w:tcPr>
            <w:tcW w:w="1120" w:type="dxa"/>
          </w:tcPr>
          <w:p w:rsidR="00954958" w:rsidRPr="00927915" w:rsidRDefault="0095495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58" w:rsidRPr="00927915" w:rsidRDefault="0095495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60.000</w:t>
            </w:r>
          </w:p>
        </w:tc>
        <w:tc>
          <w:tcPr>
            <w:tcW w:w="1190" w:type="dxa"/>
          </w:tcPr>
          <w:p w:rsidR="00954958" w:rsidRPr="00927915" w:rsidRDefault="0095495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58" w:rsidRPr="00927915" w:rsidRDefault="0095495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58.000</w:t>
            </w:r>
          </w:p>
        </w:tc>
        <w:tc>
          <w:tcPr>
            <w:tcW w:w="1351" w:type="dxa"/>
          </w:tcPr>
          <w:p w:rsidR="00954958" w:rsidRPr="00927915" w:rsidRDefault="0095495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58" w:rsidRPr="00927915" w:rsidRDefault="0095495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954958" w:rsidRPr="00927915" w:rsidRDefault="0095495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958" w:rsidRPr="00927915" w:rsidRDefault="0095495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24,46</w:t>
            </w:r>
          </w:p>
        </w:tc>
      </w:tr>
      <w:tr w:rsidR="00233D1F" w:rsidRPr="00927915" w:rsidTr="00233D1F">
        <w:tc>
          <w:tcPr>
            <w:tcW w:w="1838" w:type="dxa"/>
          </w:tcPr>
          <w:p w:rsidR="00954958" w:rsidRDefault="00954958" w:rsidP="002F3D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K679106</w:t>
            </w:r>
          </w:p>
          <w:p w:rsidR="00DD5068" w:rsidRPr="00927915" w:rsidRDefault="00DD5068" w:rsidP="002F3D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ESF</w:t>
            </w:r>
            <w:r w:rsidR="00954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4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4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86" w:type="dxa"/>
          </w:tcPr>
          <w:p w:rsidR="00DD5068" w:rsidRPr="00927915" w:rsidRDefault="00DD506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68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50.045</w:t>
            </w:r>
          </w:p>
        </w:tc>
        <w:tc>
          <w:tcPr>
            <w:tcW w:w="1203" w:type="dxa"/>
          </w:tcPr>
          <w:p w:rsidR="00DD5068" w:rsidRPr="00927915" w:rsidRDefault="00DD506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68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29.429</w:t>
            </w:r>
          </w:p>
        </w:tc>
        <w:tc>
          <w:tcPr>
            <w:tcW w:w="1120" w:type="dxa"/>
          </w:tcPr>
          <w:p w:rsidR="00DD5068" w:rsidRPr="00927915" w:rsidRDefault="00DD506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68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19.800</w:t>
            </w:r>
          </w:p>
        </w:tc>
        <w:tc>
          <w:tcPr>
            <w:tcW w:w="1190" w:type="dxa"/>
          </w:tcPr>
          <w:p w:rsidR="00DD5068" w:rsidRPr="00927915" w:rsidRDefault="00DD506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68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10.950</w:t>
            </w:r>
          </w:p>
        </w:tc>
        <w:tc>
          <w:tcPr>
            <w:tcW w:w="1351" w:type="dxa"/>
          </w:tcPr>
          <w:p w:rsidR="00DD5068" w:rsidRPr="00927915" w:rsidRDefault="00DD506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68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5.250</w:t>
            </w:r>
          </w:p>
        </w:tc>
        <w:tc>
          <w:tcPr>
            <w:tcW w:w="1174" w:type="dxa"/>
          </w:tcPr>
          <w:p w:rsidR="00DD5068" w:rsidRPr="00927915" w:rsidRDefault="00DD506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68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67,28</w:t>
            </w:r>
          </w:p>
        </w:tc>
      </w:tr>
      <w:tr w:rsidR="00233D1F" w:rsidRPr="00927915" w:rsidTr="00233D1F">
        <w:tc>
          <w:tcPr>
            <w:tcW w:w="1838" w:type="dxa"/>
          </w:tcPr>
          <w:p w:rsidR="00954958" w:rsidRDefault="00954958" w:rsidP="002F3D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K679106</w:t>
            </w:r>
            <w:r w:rsidR="00C00419" w:rsidRPr="00C00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068" w:rsidRPr="00927915" w:rsidRDefault="00C00419" w:rsidP="002F3D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9">
              <w:rPr>
                <w:rFonts w:ascii="Times New Roman" w:hAnsi="Times New Roman" w:cs="Times New Roman"/>
                <w:sz w:val="24"/>
                <w:szCs w:val="24"/>
              </w:rPr>
              <w:t>ESF</w:t>
            </w:r>
            <w:r w:rsidR="00954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4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19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1186" w:type="dxa"/>
          </w:tcPr>
          <w:p w:rsidR="00DD5068" w:rsidRPr="00927915" w:rsidRDefault="00DD506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68" w:rsidRPr="00927915" w:rsidRDefault="00C00419" w:rsidP="00C00419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283.588</w:t>
            </w:r>
          </w:p>
        </w:tc>
        <w:tc>
          <w:tcPr>
            <w:tcW w:w="1203" w:type="dxa"/>
          </w:tcPr>
          <w:p w:rsidR="00DD5068" w:rsidRPr="00927915" w:rsidRDefault="00DD506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68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166.763</w:t>
            </w:r>
          </w:p>
        </w:tc>
        <w:tc>
          <w:tcPr>
            <w:tcW w:w="1120" w:type="dxa"/>
          </w:tcPr>
          <w:p w:rsidR="00DD5068" w:rsidRPr="00927915" w:rsidRDefault="00DD506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68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112.200</w:t>
            </w:r>
          </w:p>
        </w:tc>
        <w:tc>
          <w:tcPr>
            <w:tcW w:w="1190" w:type="dxa"/>
          </w:tcPr>
          <w:p w:rsidR="00DD5068" w:rsidRPr="00927915" w:rsidRDefault="00DD506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68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62.050</w:t>
            </w:r>
          </w:p>
        </w:tc>
        <w:tc>
          <w:tcPr>
            <w:tcW w:w="1351" w:type="dxa"/>
          </w:tcPr>
          <w:p w:rsidR="00DD5068" w:rsidRPr="00927915" w:rsidRDefault="00DD506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68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29.750</w:t>
            </w:r>
          </w:p>
        </w:tc>
        <w:tc>
          <w:tcPr>
            <w:tcW w:w="1174" w:type="dxa"/>
          </w:tcPr>
          <w:p w:rsidR="00DD5068" w:rsidRPr="00927915" w:rsidRDefault="00DD5068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068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67,28</w:t>
            </w:r>
          </w:p>
        </w:tc>
      </w:tr>
      <w:tr w:rsidR="00C00419" w:rsidRPr="00927915" w:rsidTr="002F3D2C">
        <w:tc>
          <w:tcPr>
            <w:tcW w:w="1838" w:type="dxa"/>
          </w:tcPr>
          <w:p w:rsidR="00C00419" w:rsidRPr="00C00419" w:rsidRDefault="00C00419" w:rsidP="00C004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9">
              <w:rPr>
                <w:rFonts w:ascii="Times New Roman" w:hAnsi="Times New Roman" w:cs="Times New Roman"/>
                <w:sz w:val="24"/>
                <w:szCs w:val="24"/>
              </w:rPr>
              <w:t>A679078</w:t>
            </w:r>
          </w:p>
          <w:p w:rsidR="00C00419" w:rsidRPr="00927915" w:rsidRDefault="00C00419" w:rsidP="00C004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419">
              <w:rPr>
                <w:rFonts w:ascii="Times New Roman" w:hAnsi="Times New Roman" w:cs="Times New Roman"/>
                <w:sz w:val="24"/>
                <w:szCs w:val="24"/>
              </w:rPr>
              <w:t>EFRR</w:t>
            </w:r>
            <w:r w:rsidR="00954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1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954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0419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186" w:type="dxa"/>
          </w:tcPr>
          <w:p w:rsidR="00C00419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19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207.796</w:t>
            </w:r>
          </w:p>
        </w:tc>
        <w:tc>
          <w:tcPr>
            <w:tcW w:w="1203" w:type="dxa"/>
          </w:tcPr>
          <w:p w:rsidR="00C00419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19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112.349</w:t>
            </w:r>
          </w:p>
        </w:tc>
        <w:tc>
          <w:tcPr>
            <w:tcW w:w="1120" w:type="dxa"/>
          </w:tcPr>
          <w:p w:rsidR="00C00419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19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0" w:type="dxa"/>
          </w:tcPr>
          <w:p w:rsidR="00C00419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19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</w:tcPr>
          <w:p w:rsidR="00C00419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19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7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C00419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419" w:rsidRPr="00927915" w:rsidRDefault="00C00419" w:rsidP="002F3D2C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56D2E" w:rsidRPr="00927915" w:rsidRDefault="00256D2E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CF3" w:rsidRDefault="00356CF3" w:rsidP="00021E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CF3">
        <w:rPr>
          <w:rFonts w:ascii="Times New Roman" w:hAnsi="Times New Roman" w:cs="Times New Roman"/>
          <w:sz w:val="24"/>
          <w:szCs w:val="24"/>
        </w:rPr>
        <w:t>U okviru aktivnosti A679078- pomoći EU-51 planirani su prihodi i troškovi LIFE LYNX 16 NAT projekta,  te projekata započeti</w:t>
      </w:r>
      <w:r w:rsidR="00AA07BE">
        <w:rPr>
          <w:rFonts w:ascii="Times New Roman" w:hAnsi="Times New Roman" w:cs="Times New Roman"/>
          <w:sz w:val="24"/>
          <w:szCs w:val="24"/>
        </w:rPr>
        <w:t xml:space="preserve">h 2022. godine projekt LIFE </w:t>
      </w:r>
      <w:r w:rsidRPr="00356CF3">
        <w:rPr>
          <w:rFonts w:ascii="Times New Roman" w:hAnsi="Times New Roman" w:cs="Times New Roman"/>
          <w:sz w:val="24"/>
          <w:szCs w:val="24"/>
        </w:rPr>
        <w:t>WOLF i Horizon projekt „Best practices and inovations for a sustainable beekeeping in Europe B-THENET Thematic network“. Tematska mreža B-THENET provodi pristup s više partnera za modernizaciju pčelarskog sektora u EU-u, razmjenjujući znanje koje je spremno za primjenu u praksi, istovremeno potičući inovacije i digitalizaciju. Pčelari će se pomaknuti prema ekonomski održivijem i održivijem pčelarstvu kroz razmjenu znanja i obuku korisnih i primjenjivih najboljih praksi.</w:t>
      </w:r>
    </w:p>
    <w:p w:rsidR="006769B9" w:rsidRDefault="006769B9" w:rsidP="00021E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9B9">
        <w:rPr>
          <w:rFonts w:ascii="Times New Roman" w:hAnsi="Times New Roman" w:cs="Times New Roman"/>
          <w:sz w:val="24"/>
          <w:szCs w:val="24"/>
        </w:rPr>
        <w:t>Najvažniji cilj LIFE Lynx projekta je zaustaviti izumiranje dinarske i jugoistočne alpske populacije risa, koje će se postići nizom kompleksnih aktivnosti iz različitih područja upravljanja risom. Tim putem se nastoje osigurati cjelovita i održiva rješenja za sve čimbenike koji ugrožavaju populaciju. Populacija risa koju Hrvatska dijeli sa susjednim zemljama izuzetno je mala i ugrožena. Razlog tome je nestabilnost malobrojne populacije, čiji je jedini spas dovođenje „svježih“ gena iz druge, stabilne populacije. Zaustavljanje izumiranja populacije risa na području Hrvatske, Slovenije i Italije će se postići naseljavanjem 14 životinja iz Slovačke i Rumunjske. Uspješnost naseljavanja pratiti će znanstvena istraživanja, koja će uključivati praćenje naseljenih životinja i njihovih potomaka pomoću automatskih foto-zamki i GPS ogrlica te brojne genetske i ekološke analize. Države uključene u projekt uskladiti će i unaprijediti upravljanje ovom ugroženom vrstom te će se pripremiti strateški dokumenti koji će osigurati dugoročnu suradnju na ovom području.</w:t>
      </w:r>
    </w:p>
    <w:p w:rsidR="00954958" w:rsidRDefault="00021EB7" w:rsidP="00021E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EB7">
        <w:rPr>
          <w:rFonts w:ascii="Times New Roman" w:hAnsi="Times New Roman" w:cs="Times New Roman"/>
          <w:sz w:val="24"/>
          <w:szCs w:val="24"/>
        </w:rPr>
        <w:lastRenderedPageBreak/>
        <w:t>Projekt “Konkretne akcije za očuvanje divljih vukova u antropogenim krajolicima Europe”, skraćenog naziva „WILD WOLF“ sufinanciran je u okviru programa EU LIFE. Projekt će trajati gotovo</w:t>
      </w:r>
      <w:r>
        <w:rPr>
          <w:rFonts w:ascii="Times New Roman" w:hAnsi="Times New Roman" w:cs="Times New Roman"/>
          <w:sz w:val="24"/>
          <w:szCs w:val="24"/>
        </w:rPr>
        <w:t xml:space="preserve"> pet godina (do kolovoza 2027..</w:t>
      </w:r>
      <w:r w:rsidRPr="00021EB7">
        <w:rPr>
          <w:rFonts w:ascii="Times New Roman" w:hAnsi="Times New Roman" w:cs="Times New Roman"/>
          <w:sz w:val="24"/>
          <w:szCs w:val="24"/>
        </w:rPr>
        <w:t>Veterinarski fakultet dio je multidisciplinarnog konzorcija koji uključuje jedinice visokog obrazovanja i istraživačke centre, ministarstva i lokalne vlasti, zaštićena područja, lovačke udruge i ostale nevladine organizac</w:t>
      </w:r>
      <w:r>
        <w:rPr>
          <w:rFonts w:ascii="Times New Roman" w:hAnsi="Times New Roman" w:cs="Times New Roman"/>
          <w:sz w:val="24"/>
          <w:szCs w:val="24"/>
        </w:rPr>
        <w:t>ije iz devet europskih zemalja.</w:t>
      </w:r>
      <w:r w:rsidR="00356CF3">
        <w:rPr>
          <w:rFonts w:ascii="Times New Roman" w:hAnsi="Times New Roman" w:cs="Times New Roman"/>
          <w:sz w:val="24"/>
          <w:szCs w:val="24"/>
        </w:rPr>
        <w:t xml:space="preserve"> </w:t>
      </w:r>
      <w:r w:rsidRPr="00021EB7">
        <w:rPr>
          <w:rFonts w:ascii="Times New Roman" w:hAnsi="Times New Roman" w:cs="Times New Roman"/>
          <w:sz w:val="24"/>
          <w:szCs w:val="24"/>
        </w:rPr>
        <w:t>U Hrvatskoj će projekt zajedno provoditi Veterinarski fakultet (VEF) i Hrvatski lovački savez (HLS) u urbanim i peri urbanim pod</w:t>
      </w:r>
      <w:r>
        <w:rPr>
          <w:rFonts w:ascii="Times New Roman" w:hAnsi="Times New Roman" w:cs="Times New Roman"/>
          <w:sz w:val="24"/>
          <w:szCs w:val="24"/>
        </w:rPr>
        <w:t>ručjima Hrvatske.</w:t>
      </w:r>
      <w:r w:rsidRPr="00021EB7">
        <w:rPr>
          <w:rFonts w:ascii="Times New Roman" w:hAnsi="Times New Roman" w:cs="Times New Roman"/>
          <w:sz w:val="24"/>
          <w:szCs w:val="24"/>
        </w:rPr>
        <w:t>Projekt će se također provoditi u Njemačkoj, Švedskoj, Češkoj, Sloveniji, Italiji, Grčkoj i Portugalu, obuhvaćajući sedam populacija vukova u EU. Prisutnost divljih životinja u blizini ljudskih naselja rastući je fenomen u mnogim zemljama EU-a i često dovodi do kritičnih situacija percipirane ili stvarne opasnosti. Malo je zemalja EU-a spremno riješiti takve situacije jasnim i provjerenim protokolima. Projekt LIFE WILD WOLF ima za cilj razvoj i testiranje takvih protokola na temelju najveć</w:t>
      </w:r>
      <w:r>
        <w:rPr>
          <w:rFonts w:ascii="Times New Roman" w:hAnsi="Times New Roman" w:cs="Times New Roman"/>
          <w:sz w:val="24"/>
          <w:szCs w:val="24"/>
        </w:rPr>
        <w:t>eg mogućeg broja slučajeva.</w:t>
      </w:r>
      <w:r w:rsidR="00356CF3">
        <w:rPr>
          <w:rFonts w:ascii="Times New Roman" w:hAnsi="Times New Roman" w:cs="Times New Roman"/>
          <w:sz w:val="24"/>
          <w:szCs w:val="24"/>
        </w:rPr>
        <w:t xml:space="preserve"> </w:t>
      </w:r>
      <w:r w:rsidRPr="00021EB7">
        <w:rPr>
          <w:rFonts w:ascii="Times New Roman" w:hAnsi="Times New Roman" w:cs="Times New Roman"/>
          <w:sz w:val="24"/>
          <w:szCs w:val="24"/>
        </w:rPr>
        <w:t>Cilj projekta je razviti čvrstu tehničku osnovu, razvijanjem operativnih protokola koji će se testirati i procijeniti u pogledu učinkovitosti. Krajnji cilj je dati značajan doprinos što adekvatnijem upravljanju kritičnim situacijama približavanja divljih životinja čovjeku u urbanim i periurbanim područjima.</w:t>
      </w:r>
    </w:p>
    <w:p w:rsidR="0001148C" w:rsidRPr="00927915" w:rsidRDefault="0001148C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 xml:space="preserve">U okviru ESF na </w:t>
      </w:r>
      <w:r w:rsidR="00547387" w:rsidRPr="00927915">
        <w:rPr>
          <w:rFonts w:ascii="Times New Roman" w:hAnsi="Times New Roman" w:cs="Times New Roman"/>
          <w:sz w:val="24"/>
          <w:szCs w:val="24"/>
        </w:rPr>
        <w:t xml:space="preserve">fakultetu se provodi </w:t>
      </w:r>
      <w:r w:rsidR="004A6661" w:rsidRPr="00927915">
        <w:rPr>
          <w:rFonts w:ascii="Times New Roman" w:hAnsi="Times New Roman" w:cs="Times New Roman"/>
          <w:sz w:val="24"/>
          <w:szCs w:val="24"/>
        </w:rPr>
        <w:t>projekt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4A6661" w:rsidRPr="00927915">
        <w:rPr>
          <w:rFonts w:ascii="Times New Roman" w:hAnsi="Times New Roman" w:cs="Times New Roman"/>
          <w:sz w:val="24"/>
          <w:szCs w:val="24"/>
        </w:rPr>
        <w:t>„</w:t>
      </w:r>
      <w:r w:rsidRPr="00927915">
        <w:rPr>
          <w:rFonts w:ascii="Times New Roman" w:hAnsi="Times New Roman" w:cs="Times New Roman"/>
          <w:sz w:val="24"/>
          <w:szCs w:val="24"/>
        </w:rPr>
        <w:t>Unapređenje stručne prakse na farmskim životinjama VETFARM</w:t>
      </w:r>
      <w:r w:rsidR="004A6661" w:rsidRPr="00927915">
        <w:rPr>
          <w:rFonts w:ascii="Times New Roman" w:hAnsi="Times New Roman" w:cs="Times New Roman"/>
          <w:sz w:val="24"/>
          <w:szCs w:val="24"/>
        </w:rPr>
        <w:t>“ koji završava 2023 godine.</w:t>
      </w:r>
      <w:r w:rsidR="00547387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4A6661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AC70B6" w:rsidRPr="00927915">
        <w:rPr>
          <w:rFonts w:ascii="Times New Roman" w:hAnsi="Times New Roman" w:cs="Times New Roman"/>
          <w:sz w:val="24"/>
          <w:szCs w:val="24"/>
        </w:rPr>
        <w:t>Provedbom projekta „VETFARM“, studentima će se osigurati veći broj pacijenata iz skupine farmskih životinja i konja radi usavršavanja stečenih znanja i praktičnih kompetencija.</w:t>
      </w:r>
      <w:r w:rsidR="00AE4A52" w:rsidRPr="00927915">
        <w:t xml:space="preserve"> </w:t>
      </w:r>
      <w:r w:rsidR="00AE4A52" w:rsidRPr="00927915">
        <w:rPr>
          <w:rFonts w:ascii="Times New Roman" w:hAnsi="Times New Roman" w:cs="Times New Roman"/>
          <w:sz w:val="24"/>
          <w:szCs w:val="24"/>
        </w:rPr>
        <w:t>Istodobno će se kroz odlaske na kongrese i edukacije podići stručne kompetencije fakultetskih nastavnika, kao i  nastavničke kompetencije terenskih veterinara – stručnih mentora (doktorat za po jednog djelatnika svake ustanove o trošku Fakulteta), koje su nužne za provedbu stručne prakse na terenu</w:t>
      </w:r>
    </w:p>
    <w:p w:rsidR="00005996" w:rsidRPr="00927915" w:rsidRDefault="00A37DB0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U okviru EFRR do 2023. godine traje i</w:t>
      </w:r>
      <w:r w:rsidR="00B9510F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DD282C" w:rsidRPr="00927915">
        <w:rPr>
          <w:rFonts w:ascii="Times New Roman" w:hAnsi="Times New Roman" w:cs="Times New Roman"/>
          <w:sz w:val="24"/>
          <w:szCs w:val="24"/>
        </w:rPr>
        <w:t>projek</w:t>
      </w:r>
      <w:r w:rsidR="0036322E" w:rsidRPr="00927915">
        <w:rPr>
          <w:rFonts w:ascii="Times New Roman" w:hAnsi="Times New Roman" w:cs="Times New Roman"/>
          <w:sz w:val="24"/>
          <w:szCs w:val="24"/>
        </w:rPr>
        <w:t xml:space="preserve">t </w:t>
      </w:r>
      <w:r w:rsidR="00DD282C" w:rsidRPr="00927915">
        <w:rPr>
          <w:rFonts w:ascii="Times New Roman" w:hAnsi="Times New Roman" w:cs="Times New Roman"/>
          <w:sz w:val="24"/>
          <w:szCs w:val="24"/>
        </w:rPr>
        <w:t>„</w:t>
      </w:r>
      <w:r w:rsidR="0036322E" w:rsidRPr="00927915">
        <w:rPr>
          <w:rFonts w:ascii="Times New Roman" w:hAnsi="Times New Roman" w:cs="Times New Roman"/>
          <w:sz w:val="24"/>
          <w:szCs w:val="24"/>
        </w:rPr>
        <w:t xml:space="preserve">Razvoj inovativnog brzog testa za dijagnostiku subkliničkog mastitisa </w:t>
      </w:r>
      <w:r w:rsidR="00005996" w:rsidRPr="00927915">
        <w:rPr>
          <w:rFonts w:ascii="Times New Roman" w:hAnsi="Times New Roman" w:cs="Times New Roman"/>
          <w:sz w:val="24"/>
          <w:szCs w:val="24"/>
        </w:rPr>
        <w:t xml:space="preserve">u </w:t>
      </w:r>
      <w:r w:rsidR="0036322E" w:rsidRPr="00927915">
        <w:rPr>
          <w:rFonts w:ascii="Times New Roman" w:hAnsi="Times New Roman" w:cs="Times New Roman"/>
          <w:sz w:val="24"/>
          <w:szCs w:val="24"/>
        </w:rPr>
        <w:t>mliječnih krava</w:t>
      </w:r>
      <w:r w:rsidR="00DD282C" w:rsidRPr="00927915">
        <w:rPr>
          <w:rFonts w:ascii="Times New Roman" w:hAnsi="Times New Roman" w:cs="Times New Roman"/>
          <w:sz w:val="24"/>
          <w:szCs w:val="24"/>
        </w:rPr>
        <w:t>“</w:t>
      </w:r>
      <w:r w:rsidR="00005996" w:rsidRPr="00927915">
        <w:rPr>
          <w:rFonts w:ascii="Times New Roman" w:hAnsi="Times New Roman" w:cs="Times New Roman"/>
          <w:sz w:val="24"/>
          <w:szCs w:val="24"/>
        </w:rPr>
        <w:t>.</w:t>
      </w:r>
      <w:r w:rsidR="001F5E65" w:rsidRPr="00927915">
        <w:rPr>
          <w:rFonts w:ascii="Times New Roman" w:hAnsi="Times New Roman" w:cs="Times New Roman"/>
          <w:sz w:val="24"/>
          <w:szCs w:val="24"/>
        </w:rPr>
        <w:t xml:space="preserve"> Projekt je usmjeren na detekciju, karakterizaciju i kvantifikaciju proteomskog profila mlijeka krava sa subkliničkim mastitisom, s ciljem primjene naprednih, inovativnih i najsuvremenijih tehnologija u razvoju i stvaranju novog dijagnostičkog testa za subklinički mastitis.</w:t>
      </w:r>
    </w:p>
    <w:p w:rsidR="00AC70B6" w:rsidRPr="00927915" w:rsidRDefault="007E5A56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 xml:space="preserve">U okviru aktivnosti </w:t>
      </w:r>
      <w:r w:rsidR="00C233D6" w:rsidRPr="00927915">
        <w:rPr>
          <w:rFonts w:ascii="Times New Roman" w:hAnsi="Times New Roman" w:cs="Times New Roman"/>
          <w:sz w:val="24"/>
          <w:szCs w:val="24"/>
        </w:rPr>
        <w:t>A679078- te</w:t>
      </w:r>
      <w:r w:rsidR="00DD282C" w:rsidRPr="00927915">
        <w:rPr>
          <w:rFonts w:ascii="Times New Roman" w:hAnsi="Times New Roman" w:cs="Times New Roman"/>
          <w:sz w:val="24"/>
          <w:szCs w:val="24"/>
        </w:rPr>
        <w:t>kuće pomoći od drugog proračuna –</w:t>
      </w:r>
      <w:r w:rsidR="00B9510F" w:rsidRPr="00927915">
        <w:rPr>
          <w:rFonts w:ascii="Times New Roman" w:hAnsi="Times New Roman" w:cs="Times New Roman"/>
          <w:sz w:val="24"/>
          <w:szCs w:val="24"/>
        </w:rPr>
        <w:t xml:space="preserve"> izvor </w:t>
      </w:r>
      <w:r w:rsidR="00C233D6" w:rsidRPr="00927915">
        <w:rPr>
          <w:rFonts w:ascii="Times New Roman" w:hAnsi="Times New Roman" w:cs="Times New Roman"/>
          <w:sz w:val="24"/>
          <w:szCs w:val="24"/>
        </w:rPr>
        <w:t>52 planirana su s</w:t>
      </w:r>
      <w:r w:rsidR="00DD282C" w:rsidRPr="00927915">
        <w:rPr>
          <w:rFonts w:ascii="Times New Roman" w:hAnsi="Times New Roman" w:cs="Times New Roman"/>
          <w:sz w:val="24"/>
          <w:szCs w:val="24"/>
        </w:rPr>
        <w:t xml:space="preserve">redstva od nositelja projekta </w:t>
      </w:r>
      <w:r w:rsidR="001E4153" w:rsidRPr="00927915">
        <w:rPr>
          <w:rFonts w:ascii="Times New Roman" w:hAnsi="Times New Roman" w:cs="Times New Roman"/>
          <w:sz w:val="24"/>
          <w:szCs w:val="24"/>
        </w:rPr>
        <w:t>Ustanove za istraživanje i širenje znanja u području prehrane i zdravlja CEKOM</w:t>
      </w:r>
      <w:r w:rsidR="00515A65" w:rsidRPr="00927915">
        <w:rPr>
          <w:rFonts w:ascii="Times New Roman" w:hAnsi="Times New Roman" w:cs="Times New Roman"/>
          <w:sz w:val="24"/>
          <w:szCs w:val="24"/>
        </w:rPr>
        <w:t xml:space="preserve"> 3LJ</w:t>
      </w:r>
      <w:r w:rsidR="001E4153" w:rsidRPr="00927915">
        <w:rPr>
          <w:rFonts w:ascii="Times New Roman" w:hAnsi="Times New Roman" w:cs="Times New Roman"/>
          <w:sz w:val="24"/>
          <w:szCs w:val="24"/>
        </w:rPr>
        <w:t>.</w:t>
      </w:r>
      <w:r w:rsidR="00DD282C" w:rsidRPr="00927915">
        <w:rPr>
          <w:rFonts w:ascii="Times New Roman" w:hAnsi="Times New Roman" w:cs="Times New Roman"/>
          <w:sz w:val="24"/>
          <w:szCs w:val="24"/>
        </w:rPr>
        <w:t xml:space="preserve"> </w:t>
      </w:r>
      <w:r w:rsidR="001E4153" w:rsidRPr="00927915">
        <w:rPr>
          <w:rFonts w:ascii="Times New Roman" w:hAnsi="Times New Roman" w:cs="Times New Roman"/>
          <w:sz w:val="24"/>
          <w:szCs w:val="24"/>
        </w:rPr>
        <w:t xml:space="preserve">EU Projekt CEKOM 3LJ razvit će specifične nove proizvode temeljene na samoniklim vrstama ljekovitog i aromatičnog bilja Dalmatinske zagore. Kroz razvoj novih proizvoda temeljenih na navedenom prirodnom potencijalu omogućit će se dodana vrijednost </w:t>
      </w:r>
      <w:r w:rsidR="001E4153" w:rsidRPr="00927915">
        <w:rPr>
          <w:rFonts w:ascii="Times New Roman" w:hAnsi="Times New Roman" w:cs="Times New Roman"/>
          <w:sz w:val="24"/>
          <w:szCs w:val="24"/>
        </w:rPr>
        <w:lastRenderedPageBreak/>
        <w:t>postojećoj proizvodnji zainteresiranih poduzetnika i ulazak na tržište zdrave i funkcionalne hrane</w:t>
      </w:r>
    </w:p>
    <w:p w:rsidR="008440B8" w:rsidRPr="00927915" w:rsidRDefault="00B9510F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 xml:space="preserve">U okviru aktivnosti </w:t>
      </w:r>
      <w:r w:rsidR="00C233D6" w:rsidRPr="00927915">
        <w:rPr>
          <w:rFonts w:ascii="Times New Roman" w:hAnsi="Times New Roman" w:cs="Times New Roman"/>
          <w:sz w:val="24"/>
          <w:szCs w:val="24"/>
        </w:rPr>
        <w:t xml:space="preserve">A679078- tekući prijenosi istog proračuna </w:t>
      </w:r>
      <w:r w:rsidRPr="00927915">
        <w:rPr>
          <w:rFonts w:ascii="Times New Roman" w:hAnsi="Times New Roman" w:cs="Times New Roman"/>
          <w:sz w:val="24"/>
          <w:szCs w:val="24"/>
        </w:rPr>
        <w:t xml:space="preserve">– izvor </w:t>
      </w:r>
      <w:r w:rsidR="00C233D6" w:rsidRPr="00927915">
        <w:rPr>
          <w:rFonts w:ascii="Times New Roman" w:hAnsi="Times New Roman" w:cs="Times New Roman"/>
          <w:sz w:val="24"/>
          <w:szCs w:val="24"/>
        </w:rPr>
        <w:t xml:space="preserve">52 </w:t>
      </w:r>
      <w:r w:rsidRPr="00927915">
        <w:rPr>
          <w:rFonts w:ascii="Times New Roman" w:hAnsi="Times New Roman" w:cs="Times New Roman"/>
          <w:sz w:val="24"/>
          <w:szCs w:val="24"/>
        </w:rPr>
        <w:t xml:space="preserve">planirana su </w:t>
      </w:r>
      <w:r w:rsidR="00C233D6" w:rsidRPr="00927915">
        <w:rPr>
          <w:rFonts w:ascii="Times New Roman" w:hAnsi="Times New Roman" w:cs="Times New Roman"/>
          <w:sz w:val="24"/>
          <w:szCs w:val="24"/>
        </w:rPr>
        <w:t>sredstv</w:t>
      </w:r>
      <w:r w:rsidR="00DD282C" w:rsidRPr="00927915">
        <w:rPr>
          <w:rFonts w:ascii="Times New Roman" w:hAnsi="Times New Roman" w:cs="Times New Roman"/>
          <w:sz w:val="24"/>
          <w:szCs w:val="24"/>
        </w:rPr>
        <w:t>a</w:t>
      </w:r>
      <w:r w:rsidRPr="00927915">
        <w:rPr>
          <w:rFonts w:ascii="Times New Roman" w:hAnsi="Times New Roman" w:cs="Times New Roman"/>
          <w:sz w:val="24"/>
          <w:szCs w:val="24"/>
        </w:rPr>
        <w:t xml:space="preserve"> za projekta </w:t>
      </w:r>
      <w:r w:rsidR="00AC70B6" w:rsidRPr="00927915">
        <w:rPr>
          <w:rFonts w:ascii="Times New Roman" w:hAnsi="Times New Roman" w:cs="Times New Roman"/>
          <w:sz w:val="24"/>
          <w:szCs w:val="24"/>
        </w:rPr>
        <w:t xml:space="preserve">Obzor 2020-OsteoproSpine.  OSTEOproSPINE je projekt Horizon 2020, koji traje pet godina i u njega je uključeno 12 partnera iz 6 zemalja. Financira ga Europska unija. Voditelj projekta je Medicinski fakultet u Zagrebu, a Veterinarski je fakultet u Zagrebu jedan od partnera zadužen za izvođenje animalne studije. </w:t>
      </w:r>
    </w:p>
    <w:p w:rsidR="00E07A85" w:rsidRDefault="008440B8" w:rsidP="00BE2B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>U svrhu unaprjeđenja oporavilišta za divlje životinje na Veterinarskome fakultetu koje djeluje od 2017. godine odlukom Ministarstva zaštite okoliša i energetike,  početkom 2021. godine započeo je projekt pod nazivom „Unaprjeđenje i povećanje kapaciteta oporavilišta za divlje životinje na Veterinarskom fakultetu – WildRescueVEF“ koji se provodi u okviru Operativnog programa „Konkuren</w:t>
      </w:r>
      <w:r w:rsidR="00AE4A52" w:rsidRPr="00927915">
        <w:rPr>
          <w:rFonts w:ascii="Times New Roman" w:hAnsi="Times New Roman" w:cs="Times New Roman"/>
          <w:sz w:val="24"/>
          <w:szCs w:val="24"/>
        </w:rPr>
        <w:t xml:space="preserve">tnost i kohezija 2014. – 2020. </w:t>
      </w:r>
      <w:r w:rsidRPr="00927915">
        <w:rPr>
          <w:rFonts w:ascii="Times New Roman" w:hAnsi="Times New Roman" w:cs="Times New Roman"/>
          <w:sz w:val="24"/>
          <w:szCs w:val="24"/>
        </w:rPr>
        <w:t>U periodu trajanja projekta, preuredit će se unutarnji i vanjski prostori Veterinarskoga fakulteta kako bi se povećao kapacitet smještaja za divlje životinje, te će se nabaviti nova suvremena oprema.</w:t>
      </w:r>
      <w:r w:rsidR="00AE4A52" w:rsidRPr="00927915">
        <w:t xml:space="preserve"> </w:t>
      </w:r>
      <w:r w:rsidR="00AE4A52" w:rsidRPr="00927915">
        <w:rPr>
          <w:rFonts w:ascii="Times New Roman" w:hAnsi="Times New Roman" w:cs="Times New Roman"/>
          <w:sz w:val="24"/>
          <w:szCs w:val="24"/>
        </w:rPr>
        <w:t>Osim samog zbrinjavanja ozlijeđenih i bolesnih životinja, cilj projekta je i edukacija djelatnika oporavilišta kroz razne radionice, kongrese i tečajeve za rehabilitatore, te kroz  posjete drugim oporavilištima u zemlji i inozemstvu. Jedan od glavnih ciljeva oporavilišta je edukacija široke populacije o zaštiti prirode i bioraznolikosti, osobito edukacije mladih. Kroz interaktivne radionice, učenici osnovnih i srednjih škola moći će se upoznati s divljim životinjama koje nas okružuju, postupcima u slučaju pronalaska životinje, te važnosti očuvanja prirode i bioraznolikosti. Izradit ćemo i edukativne brošure o divljim životinjama koje će se moći skinuti sa web stranica Veterinarskoga fakulteta. Studenti će se moći uključiti u rad oporavilišta kao volonteri. Kroz volonitiranje će naučiti brojne stvari vezane uz ekologiju, biologiju i patologiju divljih životinja, a zajedno s djelatnicima oporavilišta imat će priliku sudjelovati i u brojnim edukativnim aktivnostima te raznim javnim događajima i festivalima koji promiču zaštitu prirode i edukaciju budućih generacija.</w:t>
      </w:r>
    </w:p>
    <w:p w:rsidR="00E07A85" w:rsidRPr="00927915" w:rsidRDefault="00E07A85" w:rsidP="00BE2B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C4C" w:rsidRPr="00927915" w:rsidRDefault="00D01C4C" w:rsidP="00D01C4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 xml:space="preserve">K679116 Fond solidarnosti EU </w:t>
      </w:r>
      <w:r w:rsidR="006E1C6B" w:rsidRPr="00927915">
        <w:rPr>
          <w:rFonts w:ascii="Times New Roman" w:hAnsi="Times New Roman" w:cs="Times New Roman"/>
          <w:sz w:val="24"/>
          <w:szCs w:val="24"/>
        </w:rPr>
        <w:t>–</w:t>
      </w:r>
      <w:r w:rsidRPr="00927915">
        <w:rPr>
          <w:rFonts w:ascii="Times New Roman" w:hAnsi="Times New Roman" w:cs="Times New Roman"/>
          <w:sz w:val="24"/>
          <w:szCs w:val="24"/>
        </w:rPr>
        <w:t xml:space="preserve"> potres</w:t>
      </w:r>
      <w:r w:rsidR="00E07A85">
        <w:rPr>
          <w:rFonts w:ascii="Times New Roman" w:hAnsi="Times New Roman" w:cs="Times New Roman"/>
          <w:sz w:val="24"/>
          <w:szCs w:val="24"/>
        </w:rPr>
        <w:t xml:space="preserve"> – izvor </w:t>
      </w:r>
      <w:r w:rsidR="006E1C6B" w:rsidRPr="00927915">
        <w:rPr>
          <w:rFonts w:ascii="Times New Roman" w:hAnsi="Times New Roman" w:cs="Times New Roman"/>
          <w:sz w:val="24"/>
          <w:szCs w:val="24"/>
        </w:rPr>
        <w:t>576</w:t>
      </w:r>
      <w:r w:rsidR="002B0C6A">
        <w:rPr>
          <w:rFonts w:ascii="Times New Roman" w:hAnsi="Times New Roman" w:cs="Times New Roman"/>
          <w:sz w:val="24"/>
          <w:szCs w:val="24"/>
        </w:rPr>
        <w:t xml:space="preserve"> / izvor 11</w:t>
      </w:r>
    </w:p>
    <w:p w:rsidR="00D65945" w:rsidRPr="00927915" w:rsidRDefault="00D65945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1C4C" w:rsidRPr="00927915" w:rsidRDefault="00D01C4C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915">
        <w:rPr>
          <w:rFonts w:ascii="Times New Roman" w:hAnsi="Times New Roman" w:cs="Times New Roman"/>
          <w:sz w:val="24"/>
          <w:szCs w:val="24"/>
        </w:rPr>
        <w:t xml:space="preserve">Zbog nastalih oštećenja na zgradama Fakulteta izazvanih potresom, a sukladno ugovorenim obvezama iz Ugovora o dodjeli bespovratnih financijskih sredstava za operacije koje se </w:t>
      </w:r>
      <w:r w:rsidRPr="00927915">
        <w:rPr>
          <w:rFonts w:ascii="Times New Roman" w:hAnsi="Times New Roman" w:cs="Times New Roman"/>
          <w:sz w:val="24"/>
          <w:szCs w:val="24"/>
        </w:rPr>
        <w:lastRenderedPageBreak/>
        <w:t>financiraju iz Fonda solidarnosti Europske unije za operaciju</w:t>
      </w:r>
      <w:r w:rsidRPr="00927915">
        <w:t xml:space="preserve"> </w:t>
      </w:r>
      <w:r w:rsidRPr="00927915">
        <w:rPr>
          <w:rFonts w:ascii="Times New Roman" w:hAnsi="Times New Roman" w:cs="Times New Roman"/>
          <w:sz w:val="24"/>
          <w:szCs w:val="24"/>
        </w:rPr>
        <w:t>Obnova zgrada Veterinarskog fakulteta potpisanih s Ministarstv</w:t>
      </w:r>
      <w:r w:rsidR="002F23C1">
        <w:rPr>
          <w:rFonts w:ascii="Times New Roman" w:hAnsi="Times New Roman" w:cs="Times New Roman"/>
          <w:sz w:val="24"/>
          <w:szCs w:val="24"/>
        </w:rPr>
        <w:t>om znanosti i obrazovanja u 2024</w:t>
      </w:r>
      <w:r w:rsidRPr="00927915">
        <w:rPr>
          <w:rFonts w:ascii="Times New Roman" w:hAnsi="Times New Roman" w:cs="Times New Roman"/>
          <w:sz w:val="24"/>
          <w:szCs w:val="24"/>
        </w:rPr>
        <w:t>. godi</w:t>
      </w:r>
      <w:r w:rsidR="002F23C1">
        <w:rPr>
          <w:rFonts w:ascii="Times New Roman" w:hAnsi="Times New Roman" w:cs="Times New Roman"/>
          <w:sz w:val="24"/>
          <w:szCs w:val="24"/>
        </w:rPr>
        <w:t>ni planirano je 472.297</w:t>
      </w:r>
      <w:r w:rsidR="007D0622">
        <w:rPr>
          <w:rFonts w:ascii="Times New Roman" w:hAnsi="Times New Roman" w:cs="Times New Roman"/>
          <w:sz w:val="24"/>
          <w:szCs w:val="24"/>
        </w:rPr>
        <w:t xml:space="preserve"> eura</w:t>
      </w:r>
      <w:r w:rsidR="002F23C1">
        <w:rPr>
          <w:rFonts w:ascii="Times New Roman" w:hAnsi="Times New Roman" w:cs="Times New Roman"/>
          <w:sz w:val="24"/>
          <w:szCs w:val="24"/>
        </w:rPr>
        <w:t xml:space="preserve"> pokrivenih iz donosa sredstva iz 2023.g. i </w:t>
      </w:r>
      <w:r w:rsidR="002B0C6A">
        <w:rPr>
          <w:rFonts w:ascii="Times New Roman" w:hAnsi="Times New Roman" w:cs="Times New Roman"/>
          <w:sz w:val="24"/>
          <w:szCs w:val="24"/>
        </w:rPr>
        <w:t>98.994</w:t>
      </w:r>
      <w:r w:rsidR="002F23C1">
        <w:rPr>
          <w:rFonts w:ascii="Times New Roman" w:hAnsi="Times New Roman" w:cs="Times New Roman"/>
          <w:sz w:val="24"/>
          <w:szCs w:val="24"/>
        </w:rPr>
        <w:t xml:space="preserve"> eura iz državnog proračuna u okviru izvora financiranja 11 Opći prihodi i primici</w:t>
      </w:r>
      <w:r w:rsidR="002B0C6A">
        <w:rPr>
          <w:rFonts w:ascii="Times New Roman" w:hAnsi="Times New Roman" w:cs="Times New Roman"/>
          <w:sz w:val="24"/>
          <w:szCs w:val="24"/>
        </w:rPr>
        <w:t xml:space="preserve"> u 2023. g. te 123.743 eura u 2025.g. i 24.749 u 2026.g.</w:t>
      </w:r>
    </w:p>
    <w:p w:rsidR="00B30D93" w:rsidRPr="00927915" w:rsidRDefault="00B30D93" w:rsidP="00B30D93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K679119</w:t>
      </w:r>
      <w:r w:rsidRPr="009279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Obnova zgrada oštećenih u potresu</w:t>
      </w:r>
      <w:r>
        <w:rPr>
          <w:rFonts w:ascii="Times New Roman" w:hAnsi="Times New Roman" w:cs="Times New Roman"/>
          <w:sz w:val="24"/>
          <w:szCs w:val="24"/>
        </w:rPr>
        <w:t xml:space="preserve"> – izvor </w:t>
      </w:r>
      <w:r>
        <w:rPr>
          <w:rFonts w:ascii="Times New Roman" w:hAnsi="Times New Roman" w:cs="Times New Roman"/>
          <w:sz w:val="24"/>
          <w:szCs w:val="24"/>
        </w:rPr>
        <w:t>815 Namjenski primitak - NPOO</w:t>
      </w:r>
    </w:p>
    <w:p w:rsidR="004E02C5" w:rsidRPr="00927915" w:rsidRDefault="00B30D93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limitima, u 2024.g planiran je iznos od 285.239 eura iz namjenskim primitaka NPOO i u projekcijama 2025.g iznos od 253.353 eura te u 2026.g. 47.231 eura za obnovu zgrada oštećenih u potresu.</w:t>
      </w:r>
      <w:bookmarkStart w:id="2" w:name="_GoBack"/>
      <w:bookmarkEnd w:id="2"/>
    </w:p>
    <w:p w:rsidR="00CB764D" w:rsidRPr="00927915" w:rsidRDefault="00CB764D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64D" w:rsidRPr="00927915" w:rsidRDefault="00CB764D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D81" w:rsidRPr="00927915" w:rsidRDefault="00227D81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D81" w:rsidRPr="00927915" w:rsidRDefault="00227D81" w:rsidP="00CA62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7D81" w:rsidRPr="009279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3F1" w:rsidRDefault="007C43F1">
      <w:pPr>
        <w:spacing w:after="0" w:line="240" w:lineRule="auto"/>
      </w:pPr>
      <w:r>
        <w:separator/>
      </w:r>
    </w:p>
  </w:endnote>
  <w:endnote w:type="continuationSeparator" w:id="0">
    <w:p w:rsidR="007C43F1" w:rsidRDefault="007C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50B">
          <w:rPr>
            <w:noProof/>
          </w:rPr>
          <w:t>11</w:t>
        </w:r>
        <w:r>
          <w:fldChar w:fldCharType="end"/>
        </w:r>
      </w:p>
    </w:sdtContent>
  </w:sdt>
  <w:p w:rsidR="009D005B" w:rsidRDefault="007C4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3F1" w:rsidRDefault="007C43F1">
      <w:pPr>
        <w:spacing w:after="0" w:line="240" w:lineRule="auto"/>
      </w:pPr>
      <w:r>
        <w:separator/>
      </w:r>
    </w:p>
  </w:footnote>
  <w:footnote w:type="continuationSeparator" w:id="0">
    <w:p w:rsidR="007C43F1" w:rsidRDefault="007C4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089B"/>
    <w:multiLevelType w:val="multilevel"/>
    <w:tmpl w:val="CC8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color w:val="auto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91DDE"/>
    <w:multiLevelType w:val="multilevel"/>
    <w:tmpl w:val="6E2288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28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9440" w:hanging="2160"/>
      </w:pPr>
      <w:rPr>
        <w:rFonts w:hint="default"/>
        <w:color w:val="auto"/>
      </w:rPr>
    </w:lvl>
  </w:abstractNum>
  <w:abstractNum w:abstractNumId="4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7699A"/>
    <w:multiLevelType w:val="multilevel"/>
    <w:tmpl w:val="2776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A2332"/>
    <w:multiLevelType w:val="hybridMultilevel"/>
    <w:tmpl w:val="193EB5D4"/>
    <w:lvl w:ilvl="0" w:tplc="F91E9608">
      <w:start w:val="437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D316F"/>
    <w:multiLevelType w:val="hybridMultilevel"/>
    <w:tmpl w:val="72A45B9E"/>
    <w:lvl w:ilvl="0" w:tplc="27F67A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B1433"/>
    <w:multiLevelType w:val="hybridMultilevel"/>
    <w:tmpl w:val="6D34F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A07B80"/>
    <w:multiLevelType w:val="hybridMultilevel"/>
    <w:tmpl w:val="9ABCCCB2"/>
    <w:lvl w:ilvl="0" w:tplc="27F67A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4153C"/>
    <w:multiLevelType w:val="hybridMultilevel"/>
    <w:tmpl w:val="8CDC42D0"/>
    <w:lvl w:ilvl="0" w:tplc="27F67A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CF"/>
    <w:rsid w:val="00005996"/>
    <w:rsid w:val="0001148C"/>
    <w:rsid w:val="00021EB7"/>
    <w:rsid w:val="00026F7E"/>
    <w:rsid w:val="00034BEC"/>
    <w:rsid w:val="00034DE4"/>
    <w:rsid w:val="00044865"/>
    <w:rsid w:val="0004750B"/>
    <w:rsid w:val="00060A01"/>
    <w:rsid w:val="00060D38"/>
    <w:rsid w:val="000728A4"/>
    <w:rsid w:val="000743BC"/>
    <w:rsid w:val="00086D29"/>
    <w:rsid w:val="00091852"/>
    <w:rsid w:val="000A2723"/>
    <w:rsid w:val="000A411C"/>
    <w:rsid w:val="000B3347"/>
    <w:rsid w:val="000D599E"/>
    <w:rsid w:val="000E210A"/>
    <w:rsid w:val="000E33E8"/>
    <w:rsid w:val="000F275B"/>
    <w:rsid w:val="000F57EB"/>
    <w:rsid w:val="00104B1E"/>
    <w:rsid w:val="001110F0"/>
    <w:rsid w:val="0013666D"/>
    <w:rsid w:val="00146480"/>
    <w:rsid w:val="00155697"/>
    <w:rsid w:val="00191DDC"/>
    <w:rsid w:val="001B0F7A"/>
    <w:rsid w:val="001C0B26"/>
    <w:rsid w:val="001C61A7"/>
    <w:rsid w:val="001D06D0"/>
    <w:rsid w:val="001D0A31"/>
    <w:rsid w:val="001E078F"/>
    <w:rsid w:val="001E4153"/>
    <w:rsid w:val="001F5E65"/>
    <w:rsid w:val="002015A8"/>
    <w:rsid w:val="00210AA8"/>
    <w:rsid w:val="002140F9"/>
    <w:rsid w:val="00216247"/>
    <w:rsid w:val="00220BF7"/>
    <w:rsid w:val="00227D81"/>
    <w:rsid w:val="002328B0"/>
    <w:rsid w:val="00233D1F"/>
    <w:rsid w:val="00236ADC"/>
    <w:rsid w:val="00252AB1"/>
    <w:rsid w:val="00256D2E"/>
    <w:rsid w:val="00295451"/>
    <w:rsid w:val="002B0C6A"/>
    <w:rsid w:val="002B2F91"/>
    <w:rsid w:val="002B49F1"/>
    <w:rsid w:val="002C026D"/>
    <w:rsid w:val="002C2F62"/>
    <w:rsid w:val="002C7121"/>
    <w:rsid w:val="002D26CA"/>
    <w:rsid w:val="002D444E"/>
    <w:rsid w:val="002E0CFD"/>
    <w:rsid w:val="002F23C1"/>
    <w:rsid w:val="00306178"/>
    <w:rsid w:val="00306AB8"/>
    <w:rsid w:val="003239CD"/>
    <w:rsid w:val="00324025"/>
    <w:rsid w:val="00324046"/>
    <w:rsid w:val="00324213"/>
    <w:rsid w:val="003411A8"/>
    <w:rsid w:val="00356CF3"/>
    <w:rsid w:val="0036322E"/>
    <w:rsid w:val="003733DE"/>
    <w:rsid w:val="00375625"/>
    <w:rsid w:val="003A382A"/>
    <w:rsid w:val="003A6FFF"/>
    <w:rsid w:val="003B2CF0"/>
    <w:rsid w:val="003C2B28"/>
    <w:rsid w:val="003F577B"/>
    <w:rsid w:val="003F6B2A"/>
    <w:rsid w:val="00411B3C"/>
    <w:rsid w:val="00420201"/>
    <w:rsid w:val="00427D8B"/>
    <w:rsid w:val="00490AC0"/>
    <w:rsid w:val="00494E91"/>
    <w:rsid w:val="004A4710"/>
    <w:rsid w:val="004A6661"/>
    <w:rsid w:val="004B1287"/>
    <w:rsid w:val="004B1F92"/>
    <w:rsid w:val="004B3B9C"/>
    <w:rsid w:val="004C3A59"/>
    <w:rsid w:val="004D4DE0"/>
    <w:rsid w:val="004E02C5"/>
    <w:rsid w:val="005012ED"/>
    <w:rsid w:val="00503806"/>
    <w:rsid w:val="00505735"/>
    <w:rsid w:val="00515A65"/>
    <w:rsid w:val="00547387"/>
    <w:rsid w:val="005713AE"/>
    <w:rsid w:val="00585281"/>
    <w:rsid w:val="005C60BD"/>
    <w:rsid w:val="005D34C0"/>
    <w:rsid w:val="005D7870"/>
    <w:rsid w:val="005E2941"/>
    <w:rsid w:val="005E3ED8"/>
    <w:rsid w:val="005E5F0E"/>
    <w:rsid w:val="005E76C0"/>
    <w:rsid w:val="005F108C"/>
    <w:rsid w:val="00611828"/>
    <w:rsid w:val="00611BEE"/>
    <w:rsid w:val="00662ACA"/>
    <w:rsid w:val="00670BCB"/>
    <w:rsid w:val="00672595"/>
    <w:rsid w:val="006769B9"/>
    <w:rsid w:val="00684381"/>
    <w:rsid w:val="00692231"/>
    <w:rsid w:val="006929ED"/>
    <w:rsid w:val="00697B21"/>
    <w:rsid w:val="006C1E2F"/>
    <w:rsid w:val="006C65A8"/>
    <w:rsid w:val="006E1C6B"/>
    <w:rsid w:val="006E5631"/>
    <w:rsid w:val="00703212"/>
    <w:rsid w:val="0071021E"/>
    <w:rsid w:val="00721F13"/>
    <w:rsid w:val="007258E1"/>
    <w:rsid w:val="00734E84"/>
    <w:rsid w:val="0074262F"/>
    <w:rsid w:val="00744EE4"/>
    <w:rsid w:val="00756797"/>
    <w:rsid w:val="0077114F"/>
    <w:rsid w:val="00791550"/>
    <w:rsid w:val="007A3744"/>
    <w:rsid w:val="007A65D7"/>
    <w:rsid w:val="007A7163"/>
    <w:rsid w:val="007B4B33"/>
    <w:rsid w:val="007B5D4C"/>
    <w:rsid w:val="007C3B9A"/>
    <w:rsid w:val="007C43F1"/>
    <w:rsid w:val="007D0622"/>
    <w:rsid w:val="007E330A"/>
    <w:rsid w:val="007E5A56"/>
    <w:rsid w:val="007F1FD0"/>
    <w:rsid w:val="007F7FE3"/>
    <w:rsid w:val="00817025"/>
    <w:rsid w:val="008223B8"/>
    <w:rsid w:val="00833357"/>
    <w:rsid w:val="00835788"/>
    <w:rsid w:val="008440B8"/>
    <w:rsid w:val="00845126"/>
    <w:rsid w:val="00846CD9"/>
    <w:rsid w:val="00846E65"/>
    <w:rsid w:val="008750BD"/>
    <w:rsid w:val="00883635"/>
    <w:rsid w:val="008860EE"/>
    <w:rsid w:val="0089595A"/>
    <w:rsid w:val="008A6991"/>
    <w:rsid w:val="008E0E0E"/>
    <w:rsid w:val="008E18D5"/>
    <w:rsid w:val="008F5194"/>
    <w:rsid w:val="009024AF"/>
    <w:rsid w:val="00910569"/>
    <w:rsid w:val="00922E1F"/>
    <w:rsid w:val="00927915"/>
    <w:rsid w:val="00932111"/>
    <w:rsid w:val="009337A4"/>
    <w:rsid w:val="00954958"/>
    <w:rsid w:val="00973B07"/>
    <w:rsid w:val="00984066"/>
    <w:rsid w:val="0099165F"/>
    <w:rsid w:val="00993503"/>
    <w:rsid w:val="00993533"/>
    <w:rsid w:val="009A0865"/>
    <w:rsid w:val="009A65A8"/>
    <w:rsid w:val="009A7DB7"/>
    <w:rsid w:val="009B0AAB"/>
    <w:rsid w:val="009D6D0A"/>
    <w:rsid w:val="009D7596"/>
    <w:rsid w:val="009E2203"/>
    <w:rsid w:val="00A02624"/>
    <w:rsid w:val="00A124F7"/>
    <w:rsid w:val="00A13D75"/>
    <w:rsid w:val="00A14740"/>
    <w:rsid w:val="00A17B71"/>
    <w:rsid w:val="00A343DB"/>
    <w:rsid w:val="00A37531"/>
    <w:rsid w:val="00A37DB0"/>
    <w:rsid w:val="00A4793A"/>
    <w:rsid w:val="00A507C7"/>
    <w:rsid w:val="00A7360C"/>
    <w:rsid w:val="00AA07BE"/>
    <w:rsid w:val="00AC70B6"/>
    <w:rsid w:val="00AD0E58"/>
    <w:rsid w:val="00AD5040"/>
    <w:rsid w:val="00AE4A52"/>
    <w:rsid w:val="00AF26F1"/>
    <w:rsid w:val="00B0717A"/>
    <w:rsid w:val="00B30D93"/>
    <w:rsid w:val="00B50859"/>
    <w:rsid w:val="00B7386C"/>
    <w:rsid w:val="00B7598C"/>
    <w:rsid w:val="00B86C28"/>
    <w:rsid w:val="00B9510F"/>
    <w:rsid w:val="00BA257F"/>
    <w:rsid w:val="00BB4213"/>
    <w:rsid w:val="00BB47B9"/>
    <w:rsid w:val="00BB6BDC"/>
    <w:rsid w:val="00BD7FDD"/>
    <w:rsid w:val="00BE2B24"/>
    <w:rsid w:val="00BE741E"/>
    <w:rsid w:val="00C00419"/>
    <w:rsid w:val="00C233D6"/>
    <w:rsid w:val="00C3650F"/>
    <w:rsid w:val="00C574D6"/>
    <w:rsid w:val="00C62EA1"/>
    <w:rsid w:val="00C84559"/>
    <w:rsid w:val="00CA622B"/>
    <w:rsid w:val="00CB764D"/>
    <w:rsid w:val="00CC29D5"/>
    <w:rsid w:val="00CE00D8"/>
    <w:rsid w:val="00CE41EF"/>
    <w:rsid w:val="00D01C4C"/>
    <w:rsid w:val="00D04A95"/>
    <w:rsid w:val="00D22B6D"/>
    <w:rsid w:val="00D3423E"/>
    <w:rsid w:val="00D65945"/>
    <w:rsid w:val="00D809F4"/>
    <w:rsid w:val="00D9631B"/>
    <w:rsid w:val="00DA7AFE"/>
    <w:rsid w:val="00DB0C88"/>
    <w:rsid w:val="00DB5F01"/>
    <w:rsid w:val="00DD08AF"/>
    <w:rsid w:val="00DD282C"/>
    <w:rsid w:val="00DD505B"/>
    <w:rsid w:val="00DD5068"/>
    <w:rsid w:val="00DE0701"/>
    <w:rsid w:val="00DE44E2"/>
    <w:rsid w:val="00DF3911"/>
    <w:rsid w:val="00DF50C8"/>
    <w:rsid w:val="00DF6FAA"/>
    <w:rsid w:val="00E03BD2"/>
    <w:rsid w:val="00E05B91"/>
    <w:rsid w:val="00E07A85"/>
    <w:rsid w:val="00E27FCF"/>
    <w:rsid w:val="00E407C7"/>
    <w:rsid w:val="00E62061"/>
    <w:rsid w:val="00E6705C"/>
    <w:rsid w:val="00E743B7"/>
    <w:rsid w:val="00E7596F"/>
    <w:rsid w:val="00E80613"/>
    <w:rsid w:val="00E81258"/>
    <w:rsid w:val="00EA00A6"/>
    <w:rsid w:val="00EB1DF2"/>
    <w:rsid w:val="00EB3F28"/>
    <w:rsid w:val="00ED704E"/>
    <w:rsid w:val="00EF033D"/>
    <w:rsid w:val="00EF05CF"/>
    <w:rsid w:val="00F04095"/>
    <w:rsid w:val="00F12286"/>
    <w:rsid w:val="00F27AA2"/>
    <w:rsid w:val="00F36BCB"/>
    <w:rsid w:val="00F44C92"/>
    <w:rsid w:val="00F522E3"/>
    <w:rsid w:val="00F5442F"/>
    <w:rsid w:val="00F54913"/>
    <w:rsid w:val="00F75ACE"/>
    <w:rsid w:val="00F815A6"/>
    <w:rsid w:val="00F86A9C"/>
    <w:rsid w:val="00F97DCD"/>
    <w:rsid w:val="00FB7FC7"/>
    <w:rsid w:val="00FC6539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0332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5C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9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324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-staro.vef.unizg.hr/opce/dok/z_o_znanstvenoj_djelatnosti_123_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3364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Windows User</cp:lastModifiedBy>
  <cp:revision>2</cp:revision>
  <cp:lastPrinted>2023-10-30T10:20:00Z</cp:lastPrinted>
  <dcterms:created xsi:type="dcterms:W3CDTF">2023-12-28T12:51:00Z</dcterms:created>
  <dcterms:modified xsi:type="dcterms:W3CDTF">2023-12-28T12:51:00Z</dcterms:modified>
</cp:coreProperties>
</file>