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989047a14db43f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2022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SVEUČILIŠTE U ZAGREBU VETERINARSKI FAKULTET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19.278.848,91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20.914.554,89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17.899.884,98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20.763.602,70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1.378.305,86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150.195,47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668.375,05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458.444,91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666.262,64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447.294,72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46.924,01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53.035,15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2.924,01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53.035,15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1813,8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350.134,40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poslovanja u izvještajnom razdoblju tekuće godine povećani su za 8,5% u odnosu na prethodnu godinu uslijed povećanja prihoda od međunarodnih organizacija i tijela EU, povećanja prihoda po posebnim propisima i prihoda od pruženih usluga. Ukupni rashodi poslovanja ostvareni s indeksom od 116,0 ostvarenog u izvještajnom razdoblju tekuće godine u odnosu na prethodnu godinu. Najveće povećanje rashoda iskazano je na poziciji rashoda za zaposlene. Do značajnog povećanja došlo je primjenom novog Pravilnika o proračunskom računovodstvu i računskom planu ukidanjem podskupine 193 – kontinuirani rashodi budućeg razdoblja.  U iskazanom izvještajnom razdoblju iskazano je trinaest rashoda za plaće, a na skupini 67 - prihoda iz nadležnog proračuna dvanaest prihoda za financiranje plaća. U izvještajnom razdoblju ostvaren je višak prihoda poslovanja u iznosu 150.195,47 EUR, manjak prihoda od nefinancijske imovine u iznosu od 447.294,72 EUR, manjak primitaka od financijske imovine u iznosu 53.035,15 EUR, slijedom čega je na kraju izvještajnog razdoblja ostvaren ukupan manjak prihoda i primitaka u iznosu od 349.377,68  EUR. Prenesenim višakom  u iznosu 1.011.297,09 EUR pokriva se ukupan manjak te je višak prihoda i primitaka raspoloživ u sljedećem razdoblju iznos od 661.162,69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međunarodnih organizacija te institucija i tijela EU (šifre 6321 do 6324)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129.302,37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441.306,52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341,3</w:t>
            </w:r>
          </w:p>
        </w:tc>
      </w:tr>
    </w:tbl>
    <w:p>
      <w:pPr>
        <w:spacing w:before="0" w:after="0"/>
      </w:pPr>
    </w:p>
    <w:p>
      <w:r>
        <w:t xml:space="preserve">Pomoći od međunarodnih organizacija i tijela EU za provedbu ugovorenih EU projekata povećani u odnosu na prethodno izvještajno razdoblje zbog primitaka novo ugovorenih projekata.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međunarodnih organizacija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18.675,27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249,0</w:t>
            </w:r>
          </w:p>
        </w:tc>
      </w:tr>
    </w:tbl>
    <w:p>
      <w:pPr>
        <w:spacing w:before="0" w:after="0"/>
      </w:pPr>
    </w:p>
    <w:p>
      <w:r>
        <w:t xml:space="preserve">Pomoći od međunarodnih organizacija odnose se na primljena sredstva za provođenje projekta Purina od Federation of Veterinarian of EU, potpora za EMAC-7 kongres od The Moredun Research Institute i  sredstva od International Atomic Energy Agancy.</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institucija i tijela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121.802,37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422.631,25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347,0</w:t>
            </w:r>
          </w:p>
        </w:tc>
      </w:tr>
    </w:tbl>
    <w:p>
      <w:pPr>
        <w:spacing w:before="0" w:after="0"/>
      </w:pPr>
    </w:p>
    <w:p>
      <w:r>
        <w:t xml:space="preserve">Pomoći od institucija i tijela EU odnose se na primljena sredstva sredstva pomoći međunarodne organizacije European Medicine Agency,  sredstva za projekte „LIFE Wolf“,  „SepBiEV-D“ i „CROOH“  te sredstva završne isplate projekta „LIFE Lynx“.</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249.568,48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504.523,24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202,2</w:t>
            </w:r>
          </w:p>
        </w:tc>
      </w:tr>
    </w:tbl>
    <w:p>
      <w:pPr>
        <w:spacing w:before="0" w:after="0"/>
      </w:pPr>
    </w:p>
    <w:p>
      <w:r>
        <w:t xml:space="preserve">U okviru tekućih prijenosa između korisnika istog proračuna doznačena su sredstva prema Ugovoru za naređene mjere Ministarstva poljoprivrede, sredstva za rad Oporavilišta za divlje životinje doznačena od Ministarstva gospodarstva, sredstva HRZZ te namjenska sredstva Ministarstva znanosti i obrazovanja.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172.549,26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162.917,33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w:t>
            </w:r>
          </w:p>
        </w:tc>
      </w:tr>
    </w:tbl>
    <w:p>
      <w:pPr>
        <w:spacing w:before="0" w:after="0"/>
      </w:pPr>
    </w:p>
    <w:p>
      <w:r>
        <w:t xml:space="preserve">Tekući prijenosi od drugih proračunsih korisnika temeljem prijenosa sredstava EU su primljena sredstva nositelja projekta Prirodoslovno-matematičkog fakulteta Sveučilišta u Zagrebu "Luminate - Obzor HORIZON" te uplate Sveučilišta u Zagrebu za provođenje programa Erasmus+ mobilnosti.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1.861.504,45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2.051.907,06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bl>
    <w:p>
      <w:pPr>
        <w:spacing w:before="0" w:after="0"/>
      </w:pPr>
    </w:p>
    <w:p>
      <w:r>
        <w:t xml:space="preserve">U izvještajnom razdoblju prihodi od školarina poslijediplomskog studija evidentirani su u okviru podskupine prihoda po posebnim propisima, dok su u razdoblju prethodne godine isti prihodi bili evidentirani u okviru prihoda od pruženih usluga.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13.486.134,39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14.386.325,22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w:t>
            </w:r>
          </w:p>
        </w:tc>
      </w:tr>
    </w:tbl>
    <w:p>
      <w:pPr>
        <w:spacing w:before="0" w:after="0"/>
      </w:pPr>
    </w:p>
    <w:p>
      <w:r>
        <w:t xml:space="preserve">Prihodi iz nadležnog proračuna za financiranje rashoda poslovanja – veći su u odnosu na prethodno izvještajno razdoblje. Odnose se na povećanje za plaće temeljem Uredbe o nazivima radnih mjesta, uvjetima za raspored i koeficijentima za obračun plaće u javnim službama. Uredbom su propisani nazivi radnih mjesta u javnim službama, klasifikacija radnih mjesta u pripadajući platni razred i koeficijent za obračun plaće. U odnosu na prošlo izvještajno razdoblje uplaćeno je više sredstava za temeljno financiranje znanstvene i umjetničke djelatnosti Sveučilišta u Zagrebu za ak.god. 2024./2025., te za subvenciju participacija školarina. U zadnjem kvartalu 2025.g. primljena su i sredstva za razvojnu i izvedbenu proračunsku komponentu temeljem potpisanog Programskog ugovora Sveučilišta u Zagrebu za programsko razdoblje ak.god. 2025./2026. – ak. god. 2028./2029.</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14.367.978,14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16.840.255,17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r>
        <w:t xml:space="preserve">Rashodi za zaposlene ukupno su uvećani u odnosu na prethodno izvještajno razdoblje. Do značajnog povećanja došlo je primjenom novog Pravilnika o proračunskom računovodstvu i računskom planu ukidanjem podskupine 193 – kontinuirani rashodi budućeg razdoblja. Kontinuirane rashode prenjeli smo na odgovarajuće račune razreda 3 Rashodi poslovanja 2. siječnja 2025. koji se uključuju u rashode razmjerno broju mjeseci u razdoblju za koje se izvještaji sastavljaju stoga imamo 10 rashoda za plaću. Povećanja se odnose i na povećanje temeljem Uredbe o nazivima radnih mjesta, uvjetima za raspored i koeficijentima za obračun plaće u javnim službama. Uredbom su propisani nazivi radnih mjesta u javnim službama, klasifikacija radnih mjesta u pripadajući platni razred i koeficijent za obračun plaće.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21.773,43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165,9</w:t>
            </w:r>
          </w:p>
        </w:tc>
      </w:tr>
    </w:tbl>
    <w:p>
      <w:pPr>
        <w:spacing w:before="0" w:after="0"/>
      </w:pPr>
    </w:p>
    <w:p>
      <w:r>
        <w:t xml:space="preserve">Povećani rashodi za troškove sudskih postupaka za parnične troškove iz sudskog postupka "Krutak" te troškove sudskog postupka iz radnog spora.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66.660,63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420,8</w:t>
            </w:r>
          </w:p>
        </w:tc>
      </w:tr>
    </w:tbl>
    <w:p>
      <w:pPr>
        <w:spacing w:before="0" w:after="0"/>
      </w:pPr>
    </w:p>
    <w:p>
      <w:r>
        <w:t xml:space="preserve">Na poziciji financijskih rashoda zabilježeno je povećanje u odnosu na prethodno razdoblje iz razloga plaćanja kamata prema pravomoćnoj presudi Visokog trgovačkog suda u predmetu tužitelja Krutak d.o.o. za poslove podrške i edukacije EU projekata prema računima iz 2019. godine.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 prihod od prodaje rabljenog terenskog vozila.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17.608,12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181.200,68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1029,1</w:t>
            </w:r>
          </w:p>
        </w:tc>
      </w:tr>
    </w:tbl>
    <w:p>
      <w:pPr>
        <w:spacing w:before="0" w:after="0"/>
      </w:pPr>
    </w:p>
    <w:p>
      <w:r>
        <w:t xml:space="preserve">Povećanje rashoda na poziciji dodatnih ulaganja na građevinskim objektima za izradu idejnog projekta za cjelovitu obnovu zgrada Veterinarskog fakulteta od potresa.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46.924,01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53.035,15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bl>
    <w:p>
      <w:pPr>
        <w:spacing w:before="0" w:after="0"/>
      </w:pPr>
    </w:p>
    <w:p>
      <w:r>
        <w:t xml:space="preserve">Na poziciji izdataka iskazani su izdaci za otplate glavnice prema ugovorima za financijske leasinge za nabavu medicinske opreme iz 2019., 2023. i 2024 godine.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16.564.038,59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16.208.989,85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w:t>
            </w:r>
          </w:p>
        </w:tc>
      </w:tr>
    </w:tbl>
    <w:p>
      <w:pPr>
        <w:spacing w:before="0" w:after="0"/>
      </w:pPr>
    </w:p>
    <w:p>
      <w:r>
        <w:t xml:space="preserve">Imovina Veterinarskog fakulteta iznosi 16.208.989,85 eura, kao i obveze i vlastiti izvori.</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13.321.983,59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13.182.069,74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w:t>
            </w:r>
          </w:p>
        </w:tc>
      </w:tr>
    </w:tbl>
    <w:p>
      <w:pPr>
        <w:spacing w:before="0" w:after="0"/>
      </w:pPr>
    </w:p>
    <w:p>
      <w:r>
        <w:t xml:space="preserve">Na pozicijama nefinancijske imovine, proizvedene dugotrajne imovine i sitnog inventara tijekom 2025. godine nije došlo do povećanja iz razloga što osim nabavke opreme za potrebe nastave i obavljanja djelatnosti poslovanja se evidentirao i rashod uništene i primjereno zbrinute neupotrebljive imovine.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16.379,92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21.679,92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w:t>
            </w:r>
          </w:p>
        </w:tc>
      </w:tr>
    </w:tbl>
    <w:p>
      <w:pPr>
        <w:spacing w:before="0" w:after="0"/>
      </w:pPr>
    </w:p>
    <w:p>
      <w:r>
        <w:t xml:space="preserve">Imovina u pripremi odnosi se na izradu elaborata i idejnog projekta, početna ulaganja u izgradnju resorana studentske prehrane i izgradnju nadstrešnice na lovnom poligonu za nastavu.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3.242.055,00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3.026.920,11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w:t>
            </w:r>
          </w:p>
        </w:tc>
      </w:tr>
    </w:tbl>
    <w:p>
      <w:pPr>
        <w:spacing w:before="0" w:after="0"/>
      </w:pPr>
    </w:p>
    <w:p>
      <w:r>
        <w:t xml:space="preserve">Financijska imovina iznosi 3.026.920,11 eura, a sastoji se od novca u banci i blagajni u iznosu 2.362.373,35 eura, jamčevnih pologa, potraživanja za više plaćene poreze i ostalih potraživanja u iznosu 55.394,74 eura, dionica u glavnici trgovačkog društva, potraživanja za prihode poslovanja u iznosu 587.891,96 eura, potraživanja od prodaje nefinancijske imovine u iznosu 6.630,77 eura i rashoda budućih razdoblja u iznosu 11.640,37 eura.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505.741,61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587.891,96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bl>
    <w:p>
      <w:pPr>
        <w:spacing w:before="0" w:after="0"/>
      </w:pPr>
    </w:p>
    <w:p>
      <w:r>
        <w:t xml:space="preserve">Potraživanja za prihode poslovanja iznose: 587.891,96 eura i veća su u odnosu na prethodnu godinu za 16,2%. Nedospjela potraživanja odnose se na potraživanja od pruženih usluga čije je dospijeće 30 dana od dana izdavanja računa i većim dijelom za potraživanja od školarina čije je dospijeće datum upisa u naredni semestar.  Iskazana potraživanja umanjena su za ispravak vrijednosti potraživanja u iznosu 44.754,52 eura.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w:t>
            </w:r>
          </w:p>
        </w:tc>
      </w:tr>
    </w:tbl>
    <w:p>
      <w:pPr>
        <w:spacing w:before="0" w:after="0"/>
      </w:pPr>
    </w:p>
    <w:p>
      <w:r>
        <w:t xml:space="preserve">Rashodi budućih razdoblja iznose 11.640,37 eura, a odnosi se na unaprijed plaćene rashode poslovanja.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2.149.880,22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2.165.314,08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w:t>
            </w:r>
          </w:p>
        </w:tc>
      </w:tr>
    </w:tbl>
    <w:p>
      <w:pPr>
        <w:spacing w:before="0" w:after="0"/>
      </w:pPr>
    </w:p>
    <w:p>
      <w:r>
        <w:t xml:space="preserve">Obveze na dan 31. prosinca 2025. godine iznose 2.165.314,08 eura. Na poziciji obveza za zaposlene evidentirane su nedospjele obveze za obračunatu plaću i materijalna prava za prosinac 2025.g. s dospijećem isplate u siječnju 2026. g. Ukupno dospjele obveze za rashode poslovanja odnose se na rashode za nabavu lijekova, materijala i usluga za redovno poslovanje koje će biti podmirene tijekom siječnja 2026. godine. Obveze za nabavu nefinancijske imovine i obveze za financijski leasing su ukupno nedospjele.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14.414.158,37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14.043.675,77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w:t>
            </w:r>
          </w:p>
        </w:tc>
      </w:tr>
    </w:tbl>
    <w:p>
      <w:pPr>
        <w:spacing w:before="0" w:after="0"/>
      </w:pPr>
    </w:p>
    <w:p>
      <w:r>
        <w:t xml:space="preserve">Vlastiti izvori iznose 14.043.675,77eura, a sastoje se od vlastitih izvora i ispravka vlastitih izvora u iznosu 12.952.382,66 eura, viška prihoda u iznosu 661.162,89 eura, obračunatih prihoda poslovanja i obračunatih prihoda od prodaje nefinancijske imovine.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1.011.297,09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661.162,69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w:t>
            </w:r>
          </w:p>
        </w:tc>
      </w:tr>
    </w:tbl>
    <w:p>
      <w:pPr>
        <w:spacing w:before="0" w:after="0"/>
      </w:pPr>
    </w:p>
    <w:p>
      <w:r>
        <w:t xml:space="preserve">Za iznose koji su bili evidenirani tijekom godine na računima kapitalnih prijenosa sredstava, a koji su utrošeni za nabavu dugotrajne imovine, provedene su korekcije rezultata, i to za sredstva na računu 67121 u iznosu 175.900,62 eura na izvoru financiranja 11-Opći prihodi i primici i na računu 66312 iznos 5.900,00 eura na izvoru 61-Donacije. </w:t>
      </w:r>
    </w:p>
    <w:p>
      <w:r>
        <w:t xml:space="preserve">Nakon provedene korekcije iskazani su rezultati u 2025. g. prema izvorima financiranja:</w:t>
      </w:r>
    </w:p>
    <w:p>
      <w:r>
        <w:t xml:space="preserve">Izvor 1 - Opći prihodi i primici: manjak prihoda poslovanja 1.096.360,53€</w:t>
      </w:r>
    </w:p>
    <w:p>
      <w:r>
        <w:t xml:space="preserve">Izvor 3 – Vlastiti prihodi: višak prihoda poslovanja 4.431,54 €, manjak prihoda od nef. imovine 235.039,62 €</w:t>
      </w:r>
    </w:p>
    <w:p>
      <w:r>
        <w:t xml:space="preserve">Izvor 4 – Prihodi za posebne namjene: višak prihoda poslovanja 287.128,30 €, manjak prihoda od nef. imovine 11.942,02 €</w:t>
      </w:r>
    </w:p>
    <w:p>
      <w:r>
        <w:t xml:space="preserve">Izvor 5 – Pomoći: višak prihoda poslovanja 764.107,83 €, manjak prihoda od nef. imovine 29.662,65 €</w:t>
      </w:r>
    </w:p>
    <w:p>
      <w:r>
        <w:t xml:space="preserve">Izvor 6 – Donacije: višak prihoda poslovanja 9.214,62 €</w:t>
      </w:r>
    </w:p>
    <w:p>
      <w:r>
        <w:t xml:space="preserve">Izvor 7 – Prihodi od prodaje ili zamjene nef. imovine:  manjak prihoda poslovanja 126,91 €, višak prihoda od nef. imovine 11.150,19 €</w:t>
      </w:r>
    </w:p>
    <w:p>
      <w:r>
        <w:t xml:space="preserve">Izvor 8 – Namjenski primici: manjak primitaka od fin. imovine 53.035,15 €.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TUĐA IMOVINA DOBIVENA NA KORIŠTENJE</w:t>
      </w:r>
    </w:p>
    <w:p>
      <w:r>
        <w:t xml:space="preserve">Tuđa imovina u iznosu od 156.591,99 eura, koja se odnosi na opremu i operativni leasing četiri kombi vozila za terensku nastavu.</w:t>
      </w:r>
    </w:p>
    <w:p>
      <w:r>
        <w:t xml:space="preserve">OBVEZE ZA SUDSKE SPOROVE</w:t>
      </w:r>
    </w:p>
    <w:p>
      <w:r>
        <w:t xml:space="preserve">U bilanci su na izvanbilančnim zapisima iskazane obveze za: obveze prema sudskim obvezama u tijeku: radni spor Pr-6064/2021 D. Mihelić, iznos glavnice 1.429,58 eura, naknada štete Pn-2170/2025 B. Borković, iznos glavnice 5.667,68 eura, naknada za posebne uvjete rada Pr-738/2022 T. Resić, iznos glavnice 3.376,69 eura te preostale ovrhe za tužbe radna mjesta s posebnim uvjetima na radu za razdoblje 2010-2014 godina u ukupnom iznosu od 8.341,86 eura.</w:t>
      </w:r>
    </w:p>
    <w:p>
      <w:r>
        <w:t xml:space="preserve">U izvanbilančnoj evidenciji evidentirana su i dana jamstva kao garancije urednog ispunjenja ugovora u iznosu 26.864,16 eura te instumenti osiguranja plaćanja (bjanko zadužnice, zadužnice i garancije banaka) u iznosu 377.408,32. EVIDENCIJA PRIMLJENIH ZADUŽNICA vodi se i pohranjena je u odjelu Računovodstva.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18.568.918,10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21.222.804,33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w:t>
            </w:r>
          </w:p>
        </w:tc>
      </w:tr>
    </w:tbl>
    <w:p>
      <w:pPr>
        <w:spacing w:before="0" w:after="0"/>
      </w:pPr>
    </w:p>
    <w:p>
      <w:r>
        <w:t xml:space="preserve">Rashodi prema funkcijskoj klasifikaciji iznose 21.222.804,33 eura.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597.602,04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promjena u vrijednosti i obujmu imovine na poziciji smanjenja za iznos ispravka vrijednosti proizvedene dugotrajne imovine na dana 31.12.2025. u iznosu 597.602,04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61.685,38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dospjele obveza odnose se na rashode za nabavu lijekova, materijala i usluga za redovno poslovanje koje će biti podmirene tijekom siječnja 2026. godine.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22.886,23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Iskazane su obveze za naplaćene tuđe prihode od prodaje stanova u iznosu 32,90 eura i za povrati sredstava prema obračunatim bolovanjima iznad 42 dana (HZZO).</w:t>
      </w:r>
    </w:p>
    <w:p/>
    <w:p>
      <w:pPr>
        <w:jc w:val="center"/>
        <w:pStyle w:val="Normal"/>
        <w:spacing w:line="240" w:lineRule="auto"/>
        <w:keepNext/>
      </w:pPr>
      <w:r>
        <w:rPr>
          <w:sz w:val="28"/>
          <w:rFonts w:ascii="Times New Roman" w:hAnsi="Times New Roman"/>
        </w:rPr>
        <w:t xml:space="preserve">Bilješka 29.</w:t>
      </w:r>
    </w:p>
    <w:p>
      <w:pPr>
        <w:jc w:val="both"/>
        <w:pStyle w:val="Normal"/>
        <w:spacing w:line="240" w:lineRule="auto"/>
      </w:pPr>
      <w:r>
        <w:rPr>
          <w:b/>
          <w:sz w:val="24"/>
          <w:rFonts w:ascii="Times New Roman" w:hAnsi="Times New Roman"/>
        </w:rPr>
        <w:t xml:space="preserve">EU izvještaj</w:t>
      </w:r>
    </w:p>
    <w:p>
      <w:r>
        <w:t xml:space="preserve">Na izvoru 510 - Programi Unije iskazane su prihodi i rashodi za provedbu EU projekata "LIFE Lynx", „LIFE Wolf“,  „SepBiEV-D“,  „CROOH“, "SAMESEA", "VETCOM" te sredstva pomoći međunarodne organizacije European Medicine Agency. Na istom izvoru iskazana su i sredstva temeljem prijenosa sredstava EU su primljena sredstva nositelja projekta Prirodoslovno-matematičkog fakulteta Sveučilišta u Zagrebu projekta "Luminate - Obzor HORIZON".</w:t>
      </w:r>
    </w:p>
    <w:p>
      <w:r>
        <w:t xml:space="preserve">Na izvoru 581 - Mehanizam za oporavak i otpornost-bespovratna sredstva iskazani su prihodi i rashodi za provedbu projekta „Razvoj prototipa imunokromatografskog testa za detekciju laktoferina i katelicidina u mlijeku krava“ te na NPOO projekte koji se financiraju iz izvedbene komponente programskog financiranja potpisanog Programskog ugovora sa Sveučilištem u Zagrebu.</w:t>
      </w:r>
    </w:p>
    <w:p>
      <w:r>
        <w:t xml:space="preserve">Uz ostvarene prihode i rashode, prate se po izvorima financiranja i stanje potraživanja, obveza i obračunatih rashoda i prihoda, dugovni i potražni promet obračunatih prihoda te stanje izvanbilančnih zapisa.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af4b3a96a144bb4" /></Relationships>
</file>