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DB" w:rsidRDefault="003E4D8A" w:rsidP="00CA62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  <w:r w:rsidR="00EF05CF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9A7DB7" w:rsidRPr="00927915">
        <w:rPr>
          <w:rFonts w:ascii="Times New Roman" w:hAnsi="Times New Roman" w:cs="Times New Roman"/>
          <w:sz w:val="24"/>
          <w:szCs w:val="24"/>
        </w:rPr>
        <w:t xml:space="preserve">Posebnog dijela </w:t>
      </w:r>
      <w:r>
        <w:rPr>
          <w:rFonts w:ascii="Times New Roman" w:hAnsi="Times New Roman" w:cs="Times New Roman"/>
          <w:sz w:val="24"/>
          <w:szCs w:val="24"/>
        </w:rPr>
        <w:t xml:space="preserve">izvještaja o izvršenju </w:t>
      </w:r>
      <w:r w:rsidR="00EF05CF" w:rsidRPr="00927915">
        <w:rPr>
          <w:rFonts w:ascii="Times New Roman" w:hAnsi="Times New Roman" w:cs="Times New Roman"/>
          <w:sz w:val="24"/>
          <w:szCs w:val="24"/>
        </w:rPr>
        <w:t>financijskog plana</w:t>
      </w:r>
      <w:r w:rsidR="003A6FFF" w:rsidRPr="00927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9A7DB7" w:rsidRPr="00927915">
        <w:rPr>
          <w:rFonts w:ascii="Times New Roman" w:hAnsi="Times New Roman" w:cs="Times New Roman"/>
          <w:sz w:val="24"/>
          <w:szCs w:val="24"/>
        </w:rPr>
        <w:t xml:space="preserve">2023. </w:t>
      </w:r>
      <w:r>
        <w:rPr>
          <w:rFonts w:ascii="Times New Roman" w:hAnsi="Times New Roman" w:cs="Times New Roman"/>
          <w:sz w:val="24"/>
          <w:szCs w:val="24"/>
        </w:rPr>
        <w:t>godinu</w:t>
      </w:r>
    </w:p>
    <w:p w:rsidR="00F00F1F" w:rsidRDefault="00F00F1F" w:rsidP="00CA62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5CF" w:rsidRDefault="00CE00D8" w:rsidP="00CA62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SVEUČILIŠTE U ZAGREBU VETERINARSKI FAKULTET</w:t>
      </w:r>
    </w:p>
    <w:p w:rsidR="00F00F1F" w:rsidRPr="00927915" w:rsidRDefault="00F00F1F" w:rsidP="00CA62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5CF" w:rsidRPr="00927915" w:rsidRDefault="00EF05CF" w:rsidP="00CA622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Sažetak djelokruga rada proračunskog korisnika</w:t>
      </w:r>
    </w:p>
    <w:p w:rsidR="00714374" w:rsidRPr="00714374" w:rsidRDefault="00714374" w:rsidP="00714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14374">
        <w:rPr>
          <w:rFonts w:ascii="Times New Roman" w:hAnsi="Times New Roman" w:cs="Times New Roman"/>
          <w:sz w:val="24"/>
          <w:szCs w:val="24"/>
          <w:lang w:val="pl-PL"/>
        </w:rPr>
        <w:t xml:space="preserve">Veterinarski fakultet Sveučilišta u Zagrebu javno je visoko učilište koje ustrojava i izvodi sveučilišne studije te provodi znanstveni i visokostručni rad u području biomedicine i zdravstva, polju veterinarske medicine te ostalim srodnim područjima, kao i programe cjeloživotnog obrazovanja doktora veterinarske medicine. Tijekom svojega stoljetnog postojanja Fakultet obavlja osnovnu obrazovno-znanstvenu funkciju u području veterinarske medicine. Sveučilišni diplomski studij danas se izvodi kao integrirani preddiplomski i diplomski studij veterinarske medicine i traje šest godina. Osim studija na hrvatskom jeziku, izvodi se i integrirani studij veterinarske medicine na engleskom jeziku. Na Veterinarskom se fakultetu izvodi i poslijediplomski sveučilišni doktorski studij Veterinarske znanosti, koji je 2017. godine od Agencije za znanost i visoko obrazovanje dobio oznaku visoke razine kvalitete, te brojni poslijediplomski specijalistički studiji. </w:t>
      </w:r>
    </w:p>
    <w:p w:rsidR="00714374" w:rsidRPr="00714374" w:rsidRDefault="00714374" w:rsidP="00714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14374">
        <w:rPr>
          <w:rFonts w:ascii="Times New Roman" w:hAnsi="Times New Roman" w:cs="Times New Roman"/>
          <w:sz w:val="24"/>
          <w:szCs w:val="24"/>
          <w:lang w:val="pl-PL"/>
        </w:rPr>
        <w:t xml:space="preserve">Ak. god. 2022./2023. u prvu studijsku godinu Integriranog preddiplomskog i diplomskog sveučilišnog studija veterinarske medicine na hrvatskom jeziku upisano je 135 studenata, čime je u potpunosti popunjena upisna kvota. Nastavu je ukupno pohađalo 785 studenta, 67 studenta upisalo je aposlventski status. Studij je završio 51 doktora veterinarske medicine s prosječnom ocjenom 4.021. Veterinarski fakultet Sveučilišta u Zagrebu proveo je upis sedme generacije studenata u program Integriranog preddiplomskog i diplomskog sveučilišnog studija veterinarske medicine na engleskom jeziku. Ukupno je na engleskom studiju u ak. god. 2022./2023. studiralo 153 studenta iz 33 zemalja svijeta. Ukupno su 53 institucije bile uključene u provedbu terenske nastave iz pojedinih redovnih i izbornih predmeta Integriranog preddiplomskog i diplomskog sveučilišnog studija veterinarske medicine na hrvatskom jeziku te dodatno 14 veterinarskih stanica i ambulanti koje su sudjelovale u organizaciji terenske nastave. Tijekom protekle akademske godine brojni su demonstratori pomagali nastavnicima i suradnicima u izvođenju praktičnog dijela nastave na studiju veterinarske medicine na hrvatskom jeziku i engleskom jeziku. U prvi semestar doktorskog studija Veterinarske znanosti upisano je ukupno 13 doktoranda. Trenutno, na studiju ukupno studira 67 doktorskih kandidata. </w:t>
      </w:r>
      <w:r w:rsidRPr="00714374">
        <w:rPr>
          <w:rFonts w:ascii="Times New Roman" w:hAnsi="Times New Roman" w:cs="Times New Roman"/>
          <w:sz w:val="24"/>
          <w:szCs w:val="24"/>
          <w:lang w:val="pl-PL"/>
        </w:rPr>
        <w:lastRenderedPageBreak/>
        <w:t>Ak. god. 2022./2023., prvu godinu studija upisalo je 17 kandidata iz četiri smjera poslijediplomskih specijalističkih studija. Na poslijediplomskim specijalističkim studijima ukupno studira 70 studenata.</w:t>
      </w:r>
    </w:p>
    <w:p w:rsidR="00714374" w:rsidRPr="00714374" w:rsidRDefault="00714374" w:rsidP="00714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14374">
        <w:rPr>
          <w:rFonts w:ascii="Times New Roman" w:hAnsi="Times New Roman" w:cs="Times New Roman"/>
          <w:sz w:val="24"/>
          <w:szCs w:val="24"/>
          <w:lang w:val="pl-PL"/>
        </w:rPr>
        <w:t>Veterinarski fakultet je i ove godine u suradnji s Hrvatskom veterinarskom komorom organizirao tečajeve cjeloživotnoga učenja, koji su uvjet za produljenje licence za obavljanje veterinarske djelatnosti. Pored ovih tečajeva, Fakultet provodi i tečajeve za stručno osposobljavanje na osnovi rješenja nadležnih institucija, poput Ministarstva poljoprivrede.</w:t>
      </w:r>
    </w:p>
    <w:p w:rsidR="00714374" w:rsidRPr="00714374" w:rsidRDefault="00714374" w:rsidP="00714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14374">
        <w:rPr>
          <w:rFonts w:ascii="Times New Roman" w:hAnsi="Times New Roman" w:cs="Times New Roman"/>
          <w:sz w:val="24"/>
          <w:szCs w:val="24"/>
          <w:lang w:val="pl-PL"/>
        </w:rPr>
        <w:t>Uslijed specifičnosti rada, a to je prvenstveno održavanje praktičnog djela nastave na vlastitim klinikama Fakulteta koje rade od 0-24 sata, logični su nešto viši izdaci za pokriće troškova poslovanja i nešto viši postotak nenastavnog osoblja  u odnosu na sveukupno zaposlene. Na klinikama Fakulteta smještene su životinje za nastavu kao i osigurani prostori za prijem bolesnih životinja koje ujedno čine i nastavni poligon za studente od VI semestra pa do završnog XII semestra. Ovakav način nastavnog programa iziskuje i veći broj  tehničkog i pomoćnog osoblja (veterinarski tehničari, veterinarski bolničari, pomoćni tehnički suradnici) koje je zaduženo za održavanje klinika, brigu i prehranu smještenih životinja kao i pomoć i pripremu nastave u specijalističkim ambulantama i kirurškim operacijskim salama. Pored kliničkih prostora u nastavi se koriste  i praktikumi te laboratoriji od kojih su neki akreditirani i obavljaju osim nastavne i znanstvene i stručnu djelatnost na tržištu te doprinose vlastitim prihodima fakulteta, a za koje se kroz ulaganja u prostor, opremu i kadrove nastoje osuvremeniti uvjeti rada i to najvećim djelom ulaganja vlastitih prihoda, jer se iz odobrenih proračunskih sredstava za investicijsko održavanje i ulaganje ovako veliki prostor ne može održavati niti u 10% nužno potrebnih popravaka i nabavke nove opreme.</w:t>
      </w:r>
    </w:p>
    <w:p w:rsidR="00927915" w:rsidRPr="00927915" w:rsidRDefault="00714374" w:rsidP="00714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14374">
        <w:rPr>
          <w:rFonts w:ascii="Times New Roman" w:hAnsi="Times New Roman" w:cs="Times New Roman"/>
          <w:sz w:val="24"/>
          <w:szCs w:val="24"/>
          <w:lang w:val="pl-PL"/>
        </w:rPr>
        <w:t>Temeljna pretpostavka strateškog razvoja fakulteta je postati u potpunosti kompatibilnim s europskim standardima kvalitete veterinarskih fakulteta, a ujedno i postati vodeći veterinarski fakultet u regiji s razvijenim potencijalom transfera znanja i tehnologija na susjedne zemlje u regiji koje jesu ili će uskoro postati kandidatkinje za pristup EU.</w:t>
      </w:r>
    </w:p>
    <w:p w:rsidR="00F815A6" w:rsidRPr="00927915" w:rsidRDefault="00846CD9" w:rsidP="00CA622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A621001 Redovna djelatnost Sveučilišta u Zagrebu</w:t>
      </w:r>
    </w:p>
    <w:p w:rsidR="00F04095" w:rsidRPr="00927915" w:rsidRDefault="00846CD9" w:rsidP="00CA622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27915">
        <w:rPr>
          <w:rFonts w:ascii="Times New Roman" w:hAnsi="Times New Roman" w:cs="Times New Roman"/>
          <w:sz w:val="24"/>
          <w:szCs w:val="24"/>
          <w:lang w:val="pl-PL"/>
        </w:rPr>
        <w:t>Zakonske i druge pravne osnove</w:t>
      </w:r>
    </w:p>
    <w:p w:rsidR="00494E91" w:rsidRPr="00927915" w:rsidRDefault="00652BCB" w:rsidP="00351CD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" w:tgtFrame="_blank" w:history="1">
        <w:r w:rsidR="00494E91" w:rsidRPr="00927915">
          <w:rPr>
            <w:rFonts w:ascii="Times New Roman" w:hAnsi="Times New Roman" w:cs="Times New Roman"/>
            <w:color w:val="000000"/>
            <w:sz w:val="24"/>
            <w:szCs w:val="24"/>
          </w:rPr>
          <w:t>Zakon</w:t>
        </w:r>
      </w:hyperlink>
      <w:r w:rsidR="00494E91" w:rsidRPr="00927915">
        <w:rPr>
          <w:rFonts w:ascii="Times New Roman" w:hAnsi="Times New Roman" w:cs="Times New Roman"/>
          <w:color w:val="000000"/>
          <w:sz w:val="24"/>
          <w:szCs w:val="24"/>
        </w:rPr>
        <w:t xml:space="preserve"> o znanstvenoj djelatnosti i visokom obrazovanju</w:t>
      </w:r>
    </w:p>
    <w:p w:rsidR="00494E91" w:rsidRPr="00927915" w:rsidRDefault="00494E91" w:rsidP="00494E9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7915">
        <w:rPr>
          <w:rFonts w:ascii="Times New Roman" w:hAnsi="Times New Roman" w:cs="Times New Roman"/>
          <w:color w:val="000000"/>
          <w:sz w:val="24"/>
          <w:szCs w:val="24"/>
        </w:rPr>
        <w:t>Zakon o proračunu</w:t>
      </w:r>
    </w:p>
    <w:p w:rsidR="00494E91" w:rsidRPr="00927915" w:rsidRDefault="00494E91" w:rsidP="00494E9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Zakon o fiskalnoj odgovornosti</w:t>
      </w:r>
    </w:p>
    <w:p w:rsidR="00F815A6" w:rsidRPr="008634F0" w:rsidRDefault="00494E91" w:rsidP="007D062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lastRenderedPageBreak/>
        <w:t>Uputa za izradu prijedloga fina</w:t>
      </w:r>
      <w:r w:rsidR="00FB7FC7">
        <w:rPr>
          <w:rFonts w:ascii="Times New Roman" w:hAnsi="Times New Roman" w:cs="Times New Roman"/>
          <w:sz w:val="24"/>
          <w:szCs w:val="24"/>
        </w:rPr>
        <w:t>ncijskog plana za razdoblje 2023</w:t>
      </w:r>
      <w:r w:rsidRPr="00927915">
        <w:rPr>
          <w:rFonts w:ascii="Times New Roman" w:hAnsi="Times New Roman" w:cs="Times New Roman"/>
          <w:sz w:val="24"/>
          <w:szCs w:val="24"/>
        </w:rPr>
        <w:t>. – 2025. godine</w:t>
      </w:r>
    </w:p>
    <w:p w:rsidR="008634F0" w:rsidRPr="008634F0" w:rsidRDefault="008634F0" w:rsidP="007D062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izvršavanju Državnog proračuna za 2023. godinu</w:t>
      </w:r>
    </w:p>
    <w:p w:rsidR="008634F0" w:rsidRPr="007D0622" w:rsidRDefault="008634F0" w:rsidP="007D062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polugodišnjem i godišnjem izvještaju o izvršenju proračuna i financijskog plana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37"/>
        <w:gridCol w:w="1213"/>
        <w:gridCol w:w="1296"/>
        <w:gridCol w:w="1296"/>
        <w:gridCol w:w="1191"/>
        <w:gridCol w:w="1576"/>
      </w:tblGrid>
      <w:tr w:rsidR="00B16C4C" w:rsidRPr="00927915" w:rsidTr="00B16C4C">
        <w:tc>
          <w:tcPr>
            <w:tcW w:w="1437" w:type="dxa"/>
            <w:shd w:val="clear" w:color="auto" w:fill="D0CECE" w:themeFill="background2" w:themeFillShade="E6"/>
          </w:tcPr>
          <w:p w:rsidR="00B16C4C" w:rsidRPr="00927915" w:rsidRDefault="00B16C4C" w:rsidP="00494E9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4C" w:rsidRPr="00927915" w:rsidRDefault="00B16C4C" w:rsidP="00494E9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D0CECE" w:themeFill="background2" w:themeFillShade="E6"/>
            <w:vAlign w:val="center"/>
          </w:tcPr>
          <w:p w:rsidR="00B16C4C" w:rsidRPr="00927915" w:rsidRDefault="00B16C4C" w:rsidP="00494E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2022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B16C4C" w:rsidRPr="00927915" w:rsidRDefault="00B16C4C" w:rsidP="00494E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2023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B16C4C" w:rsidRPr="00927915" w:rsidRDefault="00B16C4C" w:rsidP="00494E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1191" w:type="dxa"/>
            <w:shd w:val="clear" w:color="auto" w:fill="D0CECE" w:themeFill="background2" w:themeFillShade="E6"/>
            <w:vAlign w:val="center"/>
          </w:tcPr>
          <w:p w:rsidR="00B16C4C" w:rsidRPr="00927915" w:rsidRDefault="00B16C4C" w:rsidP="00494E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 2022./23.</w:t>
            </w:r>
          </w:p>
        </w:tc>
        <w:tc>
          <w:tcPr>
            <w:tcW w:w="1576" w:type="dxa"/>
            <w:shd w:val="clear" w:color="auto" w:fill="D0CECE" w:themeFill="background2" w:themeFillShade="E6"/>
            <w:vAlign w:val="center"/>
          </w:tcPr>
          <w:p w:rsidR="00B16C4C" w:rsidRDefault="00B16C4C" w:rsidP="00B16C4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  <w:p w:rsidR="00B16C4C" w:rsidRPr="00927915" w:rsidRDefault="00B16C4C" w:rsidP="00B16C4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plan/Izvršenje 2023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6C4C" w:rsidRPr="00927915" w:rsidTr="00B16C4C">
        <w:tc>
          <w:tcPr>
            <w:tcW w:w="1437" w:type="dxa"/>
          </w:tcPr>
          <w:p w:rsidR="00B16C4C" w:rsidRPr="00927915" w:rsidRDefault="00B16C4C" w:rsidP="00B16C4C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A621001</w:t>
            </w:r>
          </w:p>
        </w:tc>
        <w:tc>
          <w:tcPr>
            <w:tcW w:w="1213" w:type="dxa"/>
          </w:tcPr>
          <w:p w:rsidR="00B16C4C" w:rsidRPr="00927915" w:rsidRDefault="00B16C4C" w:rsidP="00B16C4C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8.864.601</w:t>
            </w:r>
          </w:p>
        </w:tc>
        <w:tc>
          <w:tcPr>
            <w:tcW w:w="1296" w:type="dxa"/>
          </w:tcPr>
          <w:p w:rsidR="00B16C4C" w:rsidRPr="00927915" w:rsidRDefault="00B16C4C" w:rsidP="00B16C4C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10.082.995</w:t>
            </w:r>
          </w:p>
        </w:tc>
        <w:tc>
          <w:tcPr>
            <w:tcW w:w="1296" w:type="dxa"/>
          </w:tcPr>
          <w:p w:rsidR="00B16C4C" w:rsidRPr="002B49F1" w:rsidRDefault="00B16C4C" w:rsidP="00B16C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10.056.841</w:t>
            </w:r>
          </w:p>
        </w:tc>
        <w:tc>
          <w:tcPr>
            <w:tcW w:w="1191" w:type="dxa"/>
          </w:tcPr>
          <w:p w:rsidR="00B16C4C" w:rsidRPr="002B49F1" w:rsidRDefault="007B4DF3" w:rsidP="00B16C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76" w:type="dxa"/>
          </w:tcPr>
          <w:p w:rsidR="00B16C4C" w:rsidRPr="002B49F1" w:rsidRDefault="007B4DF3" w:rsidP="00B16C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04095" w:rsidRPr="00927915" w:rsidRDefault="00F04095" w:rsidP="00494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046" w:rsidRPr="00927915" w:rsidRDefault="00494E91" w:rsidP="00DF6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Ova aktivnost sastoji se od sljedećih elemenata/</w:t>
      </w:r>
      <w:proofErr w:type="spellStart"/>
      <w:r w:rsidRPr="00927915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927915">
        <w:rPr>
          <w:rFonts w:ascii="Times New Roman" w:hAnsi="Times New Roman" w:cs="Times New Roman"/>
          <w:sz w:val="24"/>
          <w:szCs w:val="24"/>
        </w:rPr>
        <w:t>:</w:t>
      </w:r>
      <w:r w:rsidR="00DF6FAA" w:rsidRPr="00927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046" w:rsidRPr="00927915" w:rsidRDefault="00324046" w:rsidP="003240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plaće za zaposlene i plaće za posebne uvjete rada</w:t>
      </w:r>
    </w:p>
    <w:p w:rsidR="00324046" w:rsidRPr="00927915" w:rsidRDefault="00324046" w:rsidP="003240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materijalna prava zaposlenih</w:t>
      </w:r>
      <w:r w:rsidR="00DF6FAA" w:rsidRPr="00927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046" w:rsidRPr="00927915" w:rsidRDefault="00DF6FAA" w:rsidP="003240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doprinosi</w:t>
      </w:r>
      <w:r w:rsidR="00324046" w:rsidRPr="00927915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046" w:rsidRPr="00927915" w:rsidRDefault="00324046" w:rsidP="003240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naknada za prijevoz zaposlenika</w:t>
      </w:r>
    </w:p>
    <w:p w:rsidR="00324046" w:rsidRPr="00927915" w:rsidRDefault="00324046" w:rsidP="003240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sistematski pregledi</w:t>
      </w:r>
      <w:r w:rsidR="00DF6FAA" w:rsidRPr="00927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E91" w:rsidRPr="00927915" w:rsidRDefault="00DF6FAA" w:rsidP="003240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naknade</w:t>
      </w:r>
      <w:r w:rsidR="00324046" w:rsidRPr="00927915">
        <w:rPr>
          <w:rFonts w:ascii="Times New Roman" w:hAnsi="Times New Roman" w:cs="Times New Roman"/>
          <w:sz w:val="24"/>
          <w:szCs w:val="24"/>
        </w:rPr>
        <w:t xml:space="preserve"> za zapošljavanje invalidnih</w:t>
      </w:r>
      <w:r w:rsidRPr="00927915">
        <w:rPr>
          <w:rFonts w:ascii="Times New Roman" w:hAnsi="Times New Roman" w:cs="Times New Roman"/>
          <w:sz w:val="24"/>
          <w:szCs w:val="24"/>
        </w:rPr>
        <w:t xml:space="preserve"> osoba.</w:t>
      </w:r>
    </w:p>
    <w:p w:rsidR="00494E91" w:rsidRPr="00927915" w:rsidRDefault="00494E91" w:rsidP="00FA2C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 xml:space="preserve">Planirana sredstva za izvor 11 Opći prihodi i primici pod aktivnošću A621001 Redovna djelatnost Sveučilišta u Zagrebu temelje se na zadanim limitima Sveučilišta u Zagrebu za sastavnice. </w:t>
      </w:r>
      <w:r w:rsidR="00FA2C77" w:rsidRPr="00FA2C77">
        <w:rPr>
          <w:rFonts w:ascii="Times New Roman" w:hAnsi="Times New Roman" w:cs="Times New Roman"/>
          <w:sz w:val="24"/>
          <w:szCs w:val="24"/>
        </w:rPr>
        <w:t>Aktivnost Redovna djelatnost Sveučilišta u Zagrebu obu</w:t>
      </w:r>
      <w:r w:rsidR="00FA2C77">
        <w:rPr>
          <w:rFonts w:ascii="Times New Roman" w:hAnsi="Times New Roman" w:cs="Times New Roman"/>
          <w:sz w:val="24"/>
          <w:szCs w:val="24"/>
        </w:rPr>
        <w:t xml:space="preserve">hvaća plaće i materijalna prava </w:t>
      </w:r>
      <w:r w:rsidR="00FA2C77" w:rsidRPr="00FA2C77">
        <w:rPr>
          <w:rFonts w:ascii="Times New Roman" w:hAnsi="Times New Roman" w:cs="Times New Roman"/>
          <w:sz w:val="24"/>
          <w:szCs w:val="24"/>
        </w:rPr>
        <w:t xml:space="preserve">zaposlenika koja </w:t>
      </w:r>
      <w:r w:rsidR="00FA2C77">
        <w:rPr>
          <w:rFonts w:ascii="Times New Roman" w:hAnsi="Times New Roman" w:cs="Times New Roman"/>
          <w:sz w:val="24"/>
          <w:szCs w:val="24"/>
        </w:rPr>
        <w:t>se izvršavaju</w:t>
      </w:r>
      <w:r w:rsidR="00FA2C77" w:rsidRPr="00FA2C77">
        <w:rPr>
          <w:rFonts w:ascii="Times New Roman" w:hAnsi="Times New Roman" w:cs="Times New Roman"/>
          <w:sz w:val="24"/>
          <w:szCs w:val="24"/>
        </w:rPr>
        <w:t xml:space="preserve"> preko računa državne riznice.</w:t>
      </w:r>
    </w:p>
    <w:p w:rsidR="00494E91" w:rsidRPr="00927915" w:rsidRDefault="009A7DB7" w:rsidP="00494E9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A622122 Programsko financiranje</w:t>
      </w:r>
      <w:r w:rsidR="00494E91" w:rsidRPr="00927915">
        <w:rPr>
          <w:rFonts w:ascii="Times New Roman" w:hAnsi="Times New Roman" w:cs="Times New Roman"/>
          <w:sz w:val="24"/>
          <w:szCs w:val="24"/>
        </w:rPr>
        <w:t xml:space="preserve"> Sveučilišta u Zagrebu</w:t>
      </w:r>
    </w:p>
    <w:p w:rsidR="00306178" w:rsidRPr="00927915" w:rsidRDefault="00306178" w:rsidP="003061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Ova aktivnost sastoji se od sljedećih elemenata/</w:t>
      </w:r>
      <w:proofErr w:type="spellStart"/>
      <w:r w:rsidRPr="00927915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927915">
        <w:rPr>
          <w:rFonts w:ascii="Times New Roman" w:hAnsi="Times New Roman" w:cs="Times New Roman"/>
          <w:sz w:val="24"/>
          <w:szCs w:val="24"/>
        </w:rPr>
        <w:t>:</w:t>
      </w:r>
    </w:p>
    <w:p w:rsidR="008E0E0E" w:rsidRPr="00927915" w:rsidRDefault="00306178" w:rsidP="008E0E0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programsko financiranje materijalnih troškova</w:t>
      </w:r>
    </w:p>
    <w:p w:rsidR="00F04095" w:rsidRPr="00927915" w:rsidRDefault="00306178" w:rsidP="008E0E0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potpore znanstvenim istraživanjima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746"/>
        <w:gridCol w:w="1239"/>
        <w:gridCol w:w="1228"/>
        <w:gridCol w:w="1240"/>
        <w:gridCol w:w="1197"/>
        <w:gridCol w:w="1576"/>
      </w:tblGrid>
      <w:tr w:rsidR="00B16C4C" w:rsidRPr="00927915" w:rsidTr="00B16C4C">
        <w:tc>
          <w:tcPr>
            <w:tcW w:w="1746" w:type="dxa"/>
            <w:shd w:val="clear" w:color="auto" w:fill="D0CECE" w:themeFill="background2" w:themeFillShade="E6"/>
          </w:tcPr>
          <w:p w:rsidR="00B16C4C" w:rsidRPr="00927915" w:rsidRDefault="00B16C4C" w:rsidP="00B16C4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4C" w:rsidRPr="00927915" w:rsidRDefault="00B16C4C" w:rsidP="00B16C4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D0CECE" w:themeFill="background2" w:themeFillShade="E6"/>
            <w:vAlign w:val="center"/>
          </w:tcPr>
          <w:p w:rsidR="00B16C4C" w:rsidRPr="00927915" w:rsidRDefault="00B16C4C" w:rsidP="00B16C4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2022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  <w:shd w:val="clear" w:color="auto" w:fill="D0CECE" w:themeFill="background2" w:themeFillShade="E6"/>
            <w:vAlign w:val="center"/>
          </w:tcPr>
          <w:p w:rsidR="00B16C4C" w:rsidRPr="00927915" w:rsidRDefault="00B16C4C" w:rsidP="00B16C4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2023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shd w:val="clear" w:color="auto" w:fill="D0CECE" w:themeFill="background2" w:themeFillShade="E6"/>
            <w:vAlign w:val="center"/>
          </w:tcPr>
          <w:p w:rsidR="00B16C4C" w:rsidRPr="00927915" w:rsidRDefault="00B16C4C" w:rsidP="00B16C4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1197" w:type="dxa"/>
            <w:shd w:val="clear" w:color="auto" w:fill="D0CECE" w:themeFill="background2" w:themeFillShade="E6"/>
            <w:vAlign w:val="center"/>
          </w:tcPr>
          <w:p w:rsidR="00B16C4C" w:rsidRPr="00927915" w:rsidRDefault="00B16C4C" w:rsidP="00B16C4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 2022./23.</w:t>
            </w:r>
          </w:p>
        </w:tc>
        <w:tc>
          <w:tcPr>
            <w:tcW w:w="1283" w:type="dxa"/>
            <w:shd w:val="clear" w:color="auto" w:fill="D0CECE" w:themeFill="background2" w:themeFillShade="E6"/>
            <w:vAlign w:val="center"/>
          </w:tcPr>
          <w:p w:rsidR="00B16C4C" w:rsidRDefault="00B16C4C" w:rsidP="00B16C4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  <w:p w:rsidR="00B16C4C" w:rsidRPr="00927915" w:rsidRDefault="00B16C4C" w:rsidP="00B16C4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plan/Izvršenje 2023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6C4C" w:rsidRPr="00927915" w:rsidTr="00B16C4C">
        <w:tc>
          <w:tcPr>
            <w:tcW w:w="1746" w:type="dxa"/>
          </w:tcPr>
          <w:p w:rsidR="00B16C4C" w:rsidRPr="00927915" w:rsidRDefault="00B16C4C" w:rsidP="003240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A622122</w:t>
            </w:r>
          </w:p>
        </w:tc>
        <w:tc>
          <w:tcPr>
            <w:tcW w:w="1239" w:type="dxa"/>
          </w:tcPr>
          <w:p w:rsidR="00B16C4C" w:rsidRPr="00927915" w:rsidRDefault="00B16C4C" w:rsidP="007B4DF3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511.797</w:t>
            </w:r>
          </w:p>
        </w:tc>
        <w:tc>
          <w:tcPr>
            <w:tcW w:w="1228" w:type="dxa"/>
          </w:tcPr>
          <w:p w:rsidR="00B16C4C" w:rsidRPr="00927915" w:rsidRDefault="00B16C4C" w:rsidP="007B4DF3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690.609</w:t>
            </w:r>
          </w:p>
        </w:tc>
        <w:tc>
          <w:tcPr>
            <w:tcW w:w="1240" w:type="dxa"/>
          </w:tcPr>
          <w:p w:rsidR="00B16C4C" w:rsidRPr="00927915" w:rsidRDefault="00B16C4C" w:rsidP="007B4DF3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690.878</w:t>
            </w:r>
          </w:p>
        </w:tc>
        <w:tc>
          <w:tcPr>
            <w:tcW w:w="1197" w:type="dxa"/>
          </w:tcPr>
          <w:p w:rsidR="00B16C4C" w:rsidRPr="00927915" w:rsidRDefault="007B4DF3" w:rsidP="007B4DF3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83" w:type="dxa"/>
          </w:tcPr>
          <w:p w:rsidR="00B16C4C" w:rsidRPr="00927915" w:rsidRDefault="007B4DF3" w:rsidP="007B4DF3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04095" w:rsidRPr="00927915" w:rsidRDefault="00F04095" w:rsidP="00324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046" w:rsidRPr="00927915" w:rsidRDefault="009076ED" w:rsidP="00324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 programskog financiranja Sveučilišta u Zagrebu za 2023. godini planirana su prema limitima, a izvršenje prema doznakama sredstava subvencija participacija školarina i doznaka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 temeljno financiranje znanstvene i umjetničke djelatnosti Sveučilišta u Zagrebu </w:t>
      </w:r>
      <w:r w:rsidRPr="009076ED">
        <w:rPr>
          <w:rFonts w:ascii="Times New Roman" w:hAnsi="Times New Roman" w:cs="Times New Roman"/>
          <w:sz w:val="24"/>
          <w:szCs w:val="24"/>
        </w:rPr>
        <w:t>za akademsku godinu 2022./2023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2E3" w:rsidRPr="00927915" w:rsidRDefault="00F522E3" w:rsidP="00CA622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915">
        <w:rPr>
          <w:rFonts w:ascii="Times New Roman" w:hAnsi="Times New Roman" w:cs="Times New Roman"/>
          <w:color w:val="000000"/>
          <w:sz w:val="24"/>
          <w:szCs w:val="24"/>
        </w:rPr>
        <w:t>Iako planirana,  sredstva Fakulteta ograničena su u  proračunskom dijelu</w:t>
      </w:r>
      <w:r w:rsidR="00376DA2">
        <w:rPr>
          <w:rFonts w:ascii="Times New Roman" w:hAnsi="Times New Roman" w:cs="Times New Roman"/>
          <w:color w:val="000000"/>
          <w:sz w:val="24"/>
          <w:szCs w:val="24"/>
        </w:rPr>
        <w:t>, budući da dodijeljenim sredstvima</w:t>
      </w:r>
      <w:r w:rsidR="00505B77">
        <w:rPr>
          <w:rFonts w:ascii="Times New Roman" w:hAnsi="Times New Roman" w:cs="Times New Roman"/>
          <w:color w:val="000000"/>
          <w:sz w:val="24"/>
          <w:szCs w:val="24"/>
        </w:rPr>
        <w:t xml:space="preserve"> iz proračuna</w:t>
      </w:r>
      <w:r w:rsidRPr="00927915">
        <w:rPr>
          <w:rFonts w:ascii="Times New Roman" w:hAnsi="Times New Roman" w:cs="Times New Roman"/>
          <w:color w:val="000000"/>
          <w:sz w:val="24"/>
          <w:szCs w:val="24"/>
        </w:rPr>
        <w:t xml:space="preserve"> nisu </w:t>
      </w:r>
      <w:r w:rsidR="00505B77">
        <w:rPr>
          <w:rFonts w:ascii="Times New Roman" w:hAnsi="Times New Roman" w:cs="Times New Roman"/>
          <w:color w:val="000000"/>
          <w:sz w:val="24"/>
          <w:szCs w:val="24"/>
        </w:rPr>
        <w:t xml:space="preserve">osigurana potrebna sredstva za </w:t>
      </w:r>
      <w:r w:rsidRPr="00927915">
        <w:rPr>
          <w:rFonts w:ascii="Times New Roman" w:hAnsi="Times New Roman" w:cs="Times New Roman"/>
          <w:color w:val="000000"/>
          <w:sz w:val="24"/>
          <w:szCs w:val="24"/>
        </w:rPr>
        <w:t>pokriće materijalnih rashoda za nastavnu djelatnost (struja, voda , grijanj</w:t>
      </w:r>
      <w:r w:rsidR="00E81258" w:rsidRPr="00927915">
        <w:rPr>
          <w:rFonts w:ascii="Times New Roman" w:hAnsi="Times New Roman" w:cs="Times New Roman"/>
          <w:color w:val="000000"/>
          <w:sz w:val="24"/>
          <w:szCs w:val="24"/>
        </w:rPr>
        <w:t>e, čistoća, komunalne naknade).</w:t>
      </w:r>
    </w:p>
    <w:p w:rsidR="00F522E3" w:rsidRPr="00927915" w:rsidRDefault="00F522E3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Važno je napomenuti da je edukacija studenata veterinarske medicine financijski najzahtjevnija u odnosu na programe drugih disciplina, jer uključuje kliničke i laboratorijske vježbe na Fakultetu te klinički rad na terenu uz podršku pomoćnih službi. To nužno iziskuje  veća financijska sredstva čak i u odnosu na ostale studije  biomedicinske grupacije.</w:t>
      </w:r>
    </w:p>
    <w:p w:rsidR="00F522E3" w:rsidRPr="00927915" w:rsidRDefault="00F522E3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Naglašavamo da je Veterinarski fakultet u raspodjeli  subvencija participacija u ak. 20</w:t>
      </w:r>
      <w:r w:rsidR="00376DA2">
        <w:rPr>
          <w:rFonts w:ascii="Times New Roman" w:hAnsi="Times New Roman" w:cs="Times New Roman"/>
          <w:sz w:val="24"/>
          <w:szCs w:val="24"/>
        </w:rPr>
        <w:t>22</w:t>
      </w:r>
      <w:r w:rsidRPr="00927915">
        <w:rPr>
          <w:rFonts w:ascii="Times New Roman" w:hAnsi="Times New Roman" w:cs="Times New Roman"/>
          <w:sz w:val="24"/>
          <w:szCs w:val="24"/>
        </w:rPr>
        <w:t>./20</w:t>
      </w:r>
      <w:r w:rsidR="00376DA2">
        <w:rPr>
          <w:rFonts w:ascii="Times New Roman" w:hAnsi="Times New Roman" w:cs="Times New Roman"/>
          <w:sz w:val="24"/>
          <w:szCs w:val="24"/>
        </w:rPr>
        <w:t>23</w:t>
      </w:r>
      <w:r w:rsidRPr="00927915">
        <w:rPr>
          <w:rFonts w:ascii="Times New Roman" w:hAnsi="Times New Roman" w:cs="Times New Roman"/>
          <w:sz w:val="24"/>
          <w:szCs w:val="24"/>
        </w:rPr>
        <w:t>. godini, unutar biomedicinskog p</w:t>
      </w:r>
      <w:r w:rsidR="00ED704E" w:rsidRPr="00927915">
        <w:rPr>
          <w:rFonts w:ascii="Times New Roman" w:hAnsi="Times New Roman" w:cs="Times New Roman"/>
          <w:sz w:val="24"/>
          <w:szCs w:val="24"/>
        </w:rPr>
        <w:t>odručja zastupljen sa svega 21</w:t>
      </w:r>
      <w:r w:rsidRPr="00927915">
        <w:rPr>
          <w:rFonts w:ascii="Times New Roman" w:hAnsi="Times New Roman" w:cs="Times New Roman"/>
          <w:sz w:val="24"/>
          <w:szCs w:val="24"/>
        </w:rPr>
        <w:t xml:space="preserve"> %,</w:t>
      </w:r>
      <w:r w:rsidR="00E81258" w:rsidRPr="00927915">
        <w:rPr>
          <w:rFonts w:ascii="Times New Roman" w:hAnsi="Times New Roman" w:cs="Times New Roman"/>
          <w:sz w:val="24"/>
          <w:szCs w:val="24"/>
        </w:rPr>
        <w:t xml:space="preserve"> što nije niti približno </w:t>
      </w:r>
      <w:r w:rsidR="00E7596F" w:rsidRPr="00927915">
        <w:rPr>
          <w:rFonts w:ascii="Times New Roman" w:hAnsi="Times New Roman" w:cs="Times New Roman"/>
          <w:sz w:val="24"/>
          <w:szCs w:val="24"/>
        </w:rPr>
        <w:t>dovoljno sredstava za pokriće materijalnih troškova poslovanja,</w:t>
      </w:r>
      <w:r w:rsidRPr="00927915">
        <w:rPr>
          <w:rFonts w:ascii="Times New Roman" w:hAnsi="Times New Roman" w:cs="Times New Roman"/>
          <w:sz w:val="24"/>
          <w:szCs w:val="24"/>
        </w:rPr>
        <w:t xml:space="preserve"> imajući u vidu i da je ukupna kvadratura radnog prostora Veterinarskog fakulteta  za održavanje nastave i kliničkih vježbi</w:t>
      </w:r>
      <w:r w:rsidR="00791550">
        <w:rPr>
          <w:rFonts w:ascii="Times New Roman" w:hAnsi="Times New Roman" w:cs="Times New Roman"/>
          <w:sz w:val="24"/>
          <w:szCs w:val="24"/>
        </w:rPr>
        <w:t xml:space="preserve"> na klinikama Fakulteta 25.000m²</w:t>
      </w:r>
      <w:r w:rsidRPr="00927915">
        <w:rPr>
          <w:rFonts w:ascii="Times New Roman" w:hAnsi="Times New Roman" w:cs="Times New Roman"/>
          <w:sz w:val="24"/>
          <w:szCs w:val="24"/>
        </w:rPr>
        <w:t>.</w:t>
      </w:r>
    </w:p>
    <w:p w:rsidR="00F522E3" w:rsidRPr="00927915" w:rsidRDefault="00376DA2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Izvršenje financijskog 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plan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skladu je s glavni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strate</w:t>
      </w:r>
      <w:r w:rsidR="00F522E3" w:rsidRPr="00927915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  <w:lang w:val="pl-PL"/>
        </w:rPr>
        <w:t>ki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ciljem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akulteta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, 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to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nastavak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pobolj</w:t>
      </w:r>
      <w:r w:rsidR="00F522E3" w:rsidRPr="00927915">
        <w:rPr>
          <w:rFonts w:ascii="Times New Roman" w:hAnsi="Times New Roman" w:cs="Times New Roman"/>
          <w:sz w:val="24"/>
          <w:szCs w:val="24"/>
        </w:rPr>
        <w:t>š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anja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uvjeta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studiranja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studenata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Fakultetu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akreditiranim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laboratorijima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F522E3" w:rsidRPr="00927915">
        <w:rPr>
          <w:rFonts w:ascii="Times New Roman" w:hAnsi="Times New Roman" w:cs="Times New Roman"/>
          <w:sz w:val="24"/>
          <w:szCs w:val="24"/>
        </w:rPr>
        <w:t xml:space="preserve"> nabavkom suvremene opreme za edukaciju studenata na K</w:t>
      </w:r>
      <w:r w:rsidR="00F522E3" w:rsidRPr="00927915">
        <w:rPr>
          <w:rFonts w:ascii="Times New Roman" w:hAnsi="Times New Roman" w:cs="Times New Roman"/>
          <w:sz w:val="24"/>
          <w:szCs w:val="24"/>
          <w:lang w:val="pl-PL"/>
        </w:rPr>
        <w:t>linikama.</w:t>
      </w:r>
    </w:p>
    <w:p w:rsidR="00ED704E" w:rsidRPr="00927915" w:rsidRDefault="00ED704E" w:rsidP="00ED704E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A621181 Pravomoćne sudske presude</w:t>
      </w:r>
    </w:p>
    <w:p w:rsidR="00F522E3" w:rsidRPr="00927915" w:rsidRDefault="002C2F62" w:rsidP="00CA622B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 xml:space="preserve">Za isplatu prema pravomoćnim sudskim presudama za tužbe zbog </w:t>
      </w:r>
      <w:proofErr w:type="spellStart"/>
      <w:r w:rsidRPr="00927915">
        <w:rPr>
          <w:rFonts w:ascii="Times New Roman" w:hAnsi="Times New Roman" w:cs="Times New Roman"/>
          <w:sz w:val="24"/>
          <w:szCs w:val="24"/>
        </w:rPr>
        <w:t>nepovećanja</w:t>
      </w:r>
      <w:proofErr w:type="spellEnd"/>
      <w:r w:rsidRPr="00927915">
        <w:rPr>
          <w:rFonts w:ascii="Times New Roman" w:hAnsi="Times New Roman" w:cs="Times New Roman"/>
          <w:sz w:val="24"/>
          <w:szCs w:val="24"/>
        </w:rPr>
        <w:t xml:space="preserve"> 6% osnovice za izračun plaća u 2023. go</w:t>
      </w:r>
      <w:r w:rsidR="00252AB1">
        <w:rPr>
          <w:rFonts w:ascii="Times New Roman" w:hAnsi="Times New Roman" w:cs="Times New Roman"/>
          <w:sz w:val="24"/>
          <w:szCs w:val="24"/>
        </w:rPr>
        <w:t>dini planiran je iznos od 55.788</w:t>
      </w:r>
      <w:r w:rsidRPr="00927915">
        <w:rPr>
          <w:rFonts w:ascii="Times New Roman" w:hAnsi="Times New Roman" w:cs="Times New Roman"/>
          <w:sz w:val="24"/>
          <w:szCs w:val="24"/>
        </w:rPr>
        <w:t xml:space="preserve"> eura za troškove isplata razlika plaća i doprinosa, sudskih pristojbi i zateznih kamata.</w:t>
      </w:r>
      <w:r w:rsidR="00667D4D">
        <w:rPr>
          <w:rFonts w:ascii="Times New Roman" w:hAnsi="Times New Roman" w:cs="Times New Roman"/>
          <w:sz w:val="24"/>
          <w:szCs w:val="24"/>
        </w:rPr>
        <w:t xml:space="preserve"> U 2023. godini iz aktivnosti A621181 izvršeno je 25.547 eura.</w:t>
      </w:r>
    </w:p>
    <w:p w:rsidR="00846CD9" w:rsidRPr="00927915" w:rsidRDefault="00846CD9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CD9" w:rsidRPr="00927915" w:rsidRDefault="00846CD9" w:rsidP="00CA622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A679088 Redovna djelatnost Sveučilišta u Zagrebu (iz evidencijskih prihoda)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Zakonske i druge pravne osnove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Zakon o znanstvenoj dje</w:t>
      </w:r>
      <w:r w:rsidR="000B3347" w:rsidRPr="00927915">
        <w:rPr>
          <w:rFonts w:ascii="Times New Roman" w:hAnsi="Times New Roman" w:cs="Times New Roman"/>
          <w:sz w:val="24"/>
          <w:szCs w:val="24"/>
        </w:rPr>
        <w:t xml:space="preserve">latnosti i visokom obrazovanju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Zakon o Proračunu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Zakon o veterinarstvu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Pravilnik o integriranom preddiplomskom i diplomskom studiju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Izmjene pravilnika o integriranom preddiplomskom i diplomskom studiju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Pravilnik o ustroju radnih mjesta</w:t>
      </w:r>
      <w:r w:rsidRPr="00927915">
        <w:rPr>
          <w:rFonts w:ascii="Times New Roman" w:hAnsi="Times New Roman" w:cs="Times New Roman"/>
          <w:sz w:val="24"/>
          <w:szCs w:val="24"/>
        </w:rPr>
        <w:tab/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Pravilnik o radu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Pravilnik o zaštiti na radu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Strategija razvoja Veterinarskog fakulteta</w:t>
      </w:r>
      <w:r w:rsidR="004B1F92" w:rsidRPr="00927915">
        <w:rPr>
          <w:rFonts w:ascii="Times New Roman" w:hAnsi="Times New Roman" w:cs="Times New Roman"/>
          <w:sz w:val="24"/>
          <w:szCs w:val="24"/>
        </w:rPr>
        <w:t xml:space="preserve"> za razdoblje 2023. – 2027.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Statut Veterinarskoga </w:t>
      </w:r>
      <w:r w:rsidR="004B1F92" w:rsidRPr="00927915">
        <w:rPr>
          <w:rFonts w:ascii="Times New Roman" w:hAnsi="Times New Roman" w:cs="Times New Roman"/>
          <w:sz w:val="24"/>
          <w:szCs w:val="24"/>
        </w:rPr>
        <w:t>fakulteta Sveučilišta u Zagrebu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Pravilnik o uvjetima i postupku izbora u zvanja i na odgovarajuća radna mjesta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Naputak o postupku izbora u zvanja i odgovarajuća radna mjesta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Pravilnik o ustroju i radu znanstveno-nastavnog poligona Fakultetsko dobro Dugo Selo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Pravilnik o ustroju i radu lovno-nastavnog poligona Veterinarskog fakulteta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Pravilnik o unutarnjem ustroju veterinarskoga fakulteta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Pravilnik o sustavu osiguranja kvalitete na Veterinarskom fakultetu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Pravilnik o doktorskom studiju na Veterinarskom fakultetu u Zagrebu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Pravilnik o poslijediplomskim specijalističkim studijima Veterinarskog fakulteta Sveučilišta u Zagrebu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Pravilnik o ambulantnoj klinici Veterinarskog fakulteta Sveučilišta u Zagrebu </w:t>
      </w:r>
    </w:p>
    <w:p w:rsidR="003B2CF0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Pravilnik o sveučilišnoj nastavnoj literaturi i izdavačkoj djelatnosti</w:t>
      </w:r>
    </w:p>
    <w:p w:rsidR="00927915" w:rsidRPr="00927915" w:rsidRDefault="00927915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77B" w:rsidRPr="00257BDE" w:rsidRDefault="003F577B" w:rsidP="00257BDE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BDE">
        <w:rPr>
          <w:rFonts w:ascii="Times New Roman" w:hAnsi="Times New Roman" w:cs="Times New Roman"/>
          <w:sz w:val="24"/>
          <w:szCs w:val="24"/>
        </w:rPr>
        <w:t>Obrazloženje programa- Vlastiti prihodi:– prihodi od prodaje proizvoda i robe te pruženih usluga</w:t>
      </w:r>
      <w:r w:rsidR="00927915" w:rsidRPr="00257BDE">
        <w:rPr>
          <w:rFonts w:ascii="Times New Roman" w:hAnsi="Times New Roman" w:cs="Times New Roman"/>
          <w:sz w:val="24"/>
          <w:szCs w:val="24"/>
        </w:rPr>
        <w:t xml:space="preserve"> – izvor 31</w:t>
      </w:r>
    </w:p>
    <w:p w:rsidR="00257BDE" w:rsidRPr="00257BDE" w:rsidRDefault="00257BDE" w:rsidP="00257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1193"/>
        <w:gridCol w:w="1207"/>
        <w:gridCol w:w="1207"/>
        <w:gridCol w:w="1314"/>
        <w:gridCol w:w="1576"/>
      </w:tblGrid>
      <w:tr w:rsidR="00257BDE" w:rsidRPr="00927915" w:rsidTr="00694D86">
        <w:tc>
          <w:tcPr>
            <w:tcW w:w="1595" w:type="dxa"/>
            <w:shd w:val="clear" w:color="auto" w:fill="D0CECE" w:themeFill="background2" w:themeFillShade="E6"/>
          </w:tcPr>
          <w:p w:rsidR="00257BDE" w:rsidRPr="00927915" w:rsidRDefault="00257BDE" w:rsidP="00812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257BDE" w:rsidP="00812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D0CECE" w:themeFill="background2" w:themeFillShade="E6"/>
            <w:vAlign w:val="center"/>
          </w:tcPr>
          <w:p w:rsidR="00257BDE" w:rsidRPr="00927915" w:rsidRDefault="00257BDE" w:rsidP="00812C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2022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7" w:type="dxa"/>
            <w:shd w:val="clear" w:color="auto" w:fill="D0CECE" w:themeFill="background2" w:themeFillShade="E6"/>
            <w:vAlign w:val="center"/>
          </w:tcPr>
          <w:p w:rsidR="00257BDE" w:rsidRPr="00927915" w:rsidRDefault="00257BDE" w:rsidP="00812C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Plan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7" w:type="dxa"/>
            <w:shd w:val="clear" w:color="auto" w:fill="D0CECE" w:themeFill="background2" w:themeFillShade="E6"/>
            <w:vAlign w:val="center"/>
          </w:tcPr>
          <w:p w:rsidR="00257BDE" w:rsidRPr="00927915" w:rsidRDefault="00257BDE" w:rsidP="00812C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1314" w:type="dxa"/>
            <w:shd w:val="clear" w:color="auto" w:fill="D0CECE" w:themeFill="background2" w:themeFillShade="E6"/>
            <w:vAlign w:val="center"/>
          </w:tcPr>
          <w:p w:rsidR="00257BDE" w:rsidRPr="00927915" w:rsidRDefault="00257BDE" w:rsidP="00812C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 2022./23.</w:t>
            </w:r>
          </w:p>
        </w:tc>
        <w:tc>
          <w:tcPr>
            <w:tcW w:w="1385" w:type="dxa"/>
            <w:shd w:val="clear" w:color="auto" w:fill="D0CECE" w:themeFill="background2" w:themeFillShade="E6"/>
            <w:vAlign w:val="center"/>
          </w:tcPr>
          <w:p w:rsidR="00257BDE" w:rsidRDefault="00257BDE" w:rsidP="00812C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  <w:p w:rsidR="00257BDE" w:rsidRPr="00927915" w:rsidRDefault="00257BDE" w:rsidP="00812C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plan/Izvršenje 2023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7BDE" w:rsidRPr="00927915" w:rsidTr="00694D86">
        <w:tc>
          <w:tcPr>
            <w:tcW w:w="1595" w:type="dxa"/>
          </w:tcPr>
          <w:p w:rsidR="00257BDE" w:rsidRPr="00927915" w:rsidRDefault="00257BDE" w:rsidP="00A736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A679088- izvor 31</w:t>
            </w:r>
          </w:p>
        </w:tc>
        <w:tc>
          <w:tcPr>
            <w:tcW w:w="1193" w:type="dxa"/>
          </w:tcPr>
          <w:p w:rsidR="00257BDE" w:rsidRDefault="00257BDE" w:rsidP="00C1605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8B" w:rsidRPr="00927915" w:rsidRDefault="00C7178B" w:rsidP="00C1605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2.909.012</w:t>
            </w:r>
          </w:p>
        </w:tc>
        <w:tc>
          <w:tcPr>
            <w:tcW w:w="1207" w:type="dxa"/>
          </w:tcPr>
          <w:p w:rsidR="00257BDE" w:rsidRPr="00927915" w:rsidRDefault="00257BDE" w:rsidP="00C1605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257BDE" w:rsidP="00C1605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3.262.082</w:t>
            </w:r>
          </w:p>
        </w:tc>
        <w:tc>
          <w:tcPr>
            <w:tcW w:w="1207" w:type="dxa"/>
          </w:tcPr>
          <w:p w:rsidR="00257BDE" w:rsidRPr="00927915" w:rsidRDefault="00257BDE" w:rsidP="00C1605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257BDE" w:rsidP="00C1605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3.204.257</w:t>
            </w:r>
          </w:p>
        </w:tc>
        <w:tc>
          <w:tcPr>
            <w:tcW w:w="1314" w:type="dxa"/>
          </w:tcPr>
          <w:p w:rsidR="00257BDE" w:rsidRDefault="00257BDE" w:rsidP="00C1605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5D" w:rsidRPr="00927915" w:rsidRDefault="00C1605D" w:rsidP="00C1605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85" w:type="dxa"/>
          </w:tcPr>
          <w:p w:rsidR="00C1605D" w:rsidRDefault="00C1605D" w:rsidP="00C1605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C1605D" w:rsidP="00C1605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3F577B" w:rsidRPr="00927915" w:rsidRDefault="003F577B" w:rsidP="00CA622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577B" w:rsidRPr="00927915" w:rsidRDefault="003F577B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27915">
        <w:rPr>
          <w:rFonts w:ascii="Times New Roman" w:hAnsi="Times New Roman" w:cs="Times New Roman"/>
          <w:sz w:val="24"/>
          <w:szCs w:val="24"/>
          <w:lang w:val="pl-PL"/>
        </w:rPr>
        <w:t>Istom strate</w:t>
      </w:r>
      <w:r w:rsidR="00667D4D">
        <w:rPr>
          <w:rFonts w:ascii="Times New Roman" w:hAnsi="Times New Roman" w:cs="Times New Roman"/>
          <w:sz w:val="24"/>
          <w:szCs w:val="24"/>
          <w:lang w:val="pl-PL"/>
        </w:rPr>
        <w:t>škom cilju namjenjeni su i tzv.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vlastiti prihodi fakulteta ostvareni na tržištu te su usmjereni kao dopunski izvor financi</w:t>
      </w:r>
      <w:r w:rsidR="00667D4D">
        <w:rPr>
          <w:rFonts w:ascii="Times New Roman" w:hAnsi="Times New Roman" w:cs="Times New Roman"/>
          <w:sz w:val="24"/>
          <w:szCs w:val="24"/>
          <w:lang w:val="pl-PL"/>
        </w:rPr>
        <w:t xml:space="preserve">ranja proračunskim sredstvima. To je u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 xml:space="preserve">suglasju s polaznim osnovama sustava financiranja unutar Sveučilišta te na tragu pronalaženja optimalne kombinacije udjela države i tržišta u ostvarivanju razvojnih ciljeva u visokom obrazovanju. </w:t>
      </w:r>
    </w:p>
    <w:p w:rsidR="003F577B" w:rsidRPr="00927915" w:rsidRDefault="003F577B" w:rsidP="00CA622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915">
        <w:rPr>
          <w:rFonts w:ascii="Times New Roman" w:hAnsi="Times New Roman" w:cs="Times New Roman"/>
          <w:color w:val="000000"/>
          <w:sz w:val="24"/>
          <w:szCs w:val="24"/>
        </w:rPr>
        <w:t>Kako su sredstva iz proračuna dostatna isključivo za rashode za zaposlene i jedan dio materijalnih rashoda, Fakultet</w:t>
      </w:r>
      <w:r w:rsidR="00A13D75" w:rsidRPr="00927915">
        <w:rPr>
          <w:rFonts w:ascii="Times New Roman" w:hAnsi="Times New Roman" w:cs="Times New Roman"/>
          <w:color w:val="000000"/>
          <w:sz w:val="24"/>
          <w:szCs w:val="24"/>
        </w:rPr>
        <w:t xml:space="preserve"> pored pokrića režijskih troškova,</w:t>
      </w:r>
      <w:r w:rsidRPr="00927915">
        <w:rPr>
          <w:rFonts w:ascii="Times New Roman" w:hAnsi="Times New Roman" w:cs="Times New Roman"/>
          <w:color w:val="000000"/>
          <w:sz w:val="24"/>
          <w:szCs w:val="24"/>
        </w:rPr>
        <w:t xml:space="preserve"> gotovo 35% tržišnih prihoda </w:t>
      </w:r>
      <w:r w:rsidRPr="00927915">
        <w:rPr>
          <w:rFonts w:ascii="Times New Roman" w:hAnsi="Times New Roman" w:cs="Times New Roman"/>
          <w:color w:val="000000"/>
          <w:sz w:val="24"/>
          <w:szCs w:val="24"/>
        </w:rPr>
        <w:lastRenderedPageBreak/>
        <w:t>izdvaja i troši u svrhu obnavljanja i osuvremenjivanja  prostora i opreme za nastavnu, istr</w:t>
      </w:r>
      <w:r w:rsidR="00A13D75" w:rsidRPr="00927915">
        <w:rPr>
          <w:rFonts w:ascii="Times New Roman" w:hAnsi="Times New Roman" w:cs="Times New Roman"/>
          <w:color w:val="000000"/>
          <w:sz w:val="24"/>
          <w:szCs w:val="24"/>
        </w:rPr>
        <w:t>aživačku i stručnu djelatnost.</w:t>
      </w:r>
    </w:p>
    <w:p w:rsidR="003F577B" w:rsidRPr="00927915" w:rsidRDefault="003F577B" w:rsidP="00CA622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915">
        <w:rPr>
          <w:rFonts w:ascii="Times New Roman" w:hAnsi="Times New Roman" w:cs="Times New Roman"/>
          <w:color w:val="000000"/>
          <w:sz w:val="24"/>
          <w:szCs w:val="24"/>
        </w:rPr>
        <w:t>Fakultet tržišne prihode suradnje s građanstvom i privredom slobodno ostvaruje bez utjecaja vanjskih čimbenika, dok u dijelu prihoda školarina za poslijediplomsku nastavu utjecaj ima broj prijavljenih polaznika po raspisanom natječaju.</w:t>
      </w:r>
    </w:p>
    <w:p w:rsidR="003F577B" w:rsidRPr="00927915" w:rsidRDefault="003F577B" w:rsidP="00CA622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915">
        <w:rPr>
          <w:rFonts w:ascii="Times New Roman" w:hAnsi="Times New Roman" w:cs="Times New Roman"/>
          <w:color w:val="000000"/>
          <w:sz w:val="24"/>
          <w:szCs w:val="24"/>
        </w:rPr>
        <w:t>Iako prihodi vl</w:t>
      </w:r>
      <w:r w:rsidR="00505735" w:rsidRPr="00927915">
        <w:rPr>
          <w:rFonts w:ascii="Times New Roman" w:hAnsi="Times New Roman" w:cs="Times New Roman"/>
          <w:color w:val="000000"/>
          <w:sz w:val="24"/>
          <w:szCs w:val="24"/>
        </w:rPr>
        <w:t>astite djelatnosti čine svega 18</w:t>
      </w:r>
      <w:r w:rsidRPr="00927915">
        <w:rPr>
          <w:rFonts w:ascii="Times New Roman" w:hAnsi="Times New Roman" w:cs="Times New Roman"/>
          <w:color w:val="000000"/>
          <w:sz w:val="24"/>
          <w:szCs w:val="24"/>
        </w:rPr>
        <w:t>% ukupnih prihoda jedan su od najvažnijih prihoda u osuvremenjivanju n</w:t>
      </w:r>
      <w:r w:rsidR="00EA2F78">
        <w:rPr>
          <w:rFonts w:ascii="Times New Roman" w:hAnsi="Times New Roman" w:cs="Times New Roman"/>
          <w:color w:val="000000"/>
          <w:sz w:val="24"/>
          <w:szCs w:val="24"/>
        </w:rPr>
        <w:t xml:space="preserve">astavnog prostora i opreme, kao </w:t>
      </w:r>
      <w:r w:rsidRPr="00927915">
        <w:rPr>
          <w:rFonts w:ascii="Times New Roman" w:hAnsi="Times New Roman" w:cs="Times New Roman"/>
          <w:color w:val="000000"/>
          <w:sz w:val="24"/>
          <w:szCs w:val="24"/>
        </w:rPr>
        <w:t>i stručnom usa</w:t>
      </w:r>
      <w:r w:rsidR="00EA2F78">
        <w:rPr>
          <w:rFonts w:ascii="Times New Roman" w:hAnsi="Times New Roman" w:cs="Times New Roman"/>
          <w:color w:val="000000"/>
          <w:sz w:val="24"/>
          <w:szCs w:val="24"/>
        </w:rPr>
        <w:t xml:space="preserve">vršavanju nastavnog i pratećeg </w:t>
      </w:r>
      <w:r w:rsidRPr="00927915">
        <w:rPr>
          <w:rFonts w:ascii="Times New Roman" w:hAnsi="Times New Roman" w:cs="Times New Roman"/>
          <w:color w:val="000000"/>
          <w:sz w:val="24"/>
          <w:szCs w:val="24"/>
        </w:rPr>
        <w:t>osoblja.</w:t>
      </w:r>
    </w:p>
    <w:p w:rsidR="00721F13" w:rsidRPr="00EA2F78" w:rsidRDefault="00EA2F78" w:rsidP="00CA62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F78">
        <w:rPr>
          <w:rFonts w:ascii="Times New Roman" w:hAnsi="Times New Roman" w:cs="Times New Roman"/>
          <w:color w:val="000000"/>
          <w:sz w:val="24"/>
          <w:szCs w:val="24"/>
        </w:rPr>
        <w:t xml:space="preserve">U 2023. godini </w:t>
      </w:r>
      <w:proofErr w:type="spellStart"/>
      <w:r w:rsidRPr="00EA2F78">
        <w:rPr>
          <w:rFonts w:ascii="Times New Roman" w:hAnsi="Times New Roman" w:cs="Times New Roman"/>
          <w:color w:val="000000"/>
          <w:sz w:val="24"/>
          <w:szCs w:val="24"/>
        </w:rPr>
        <w:t>oprihodovano</w:t>
      </w:r>
      <w:proofErr w:type="spellEnd"/>
      <w:r w:rsidRPr="00EA2F78">
        <w:rPr>
          <w:rFonts w:ascii="Times New Roman" w:hAnsi="Times New Roman" w:cs="Times New Roman"/>
          <w:color w:val="000000"/>
          <w:sz w:val="24"/>
          <w:szCs w:val="24"/>
        </w:rPr>
        <w:t xml:space="preserve"> je 3.026.265</w:t>
      </w:r>
      <w:r w:rsidR="000F275B" w:rsidRPr="00EA2F78">
        <w:rPr>
          <w:rFonts w:ascii="Times New Roman" w:hAnsi="Times New Roman" w:cs="Times New Roman"/>
          <w:color w:val="000000"/>
          <w:sz w:val="24"/>
          <w:szCs w:val="24"/>
        </w:rPr>
        <w:t xml:space="preserve"> eura</w:t>
      </w:r>
      <w:r w:rsidR="00721F13" w:rsidRPr="00EA2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2F78">
        <w:rPr>
          <w:rFonts w:ascii="Times New Roman" w:hAnsi="Times New Roman" w:cs="Times New Roman"/>
          <w:color w:val="000000"/>
          <w:sz w:val="24"/>
          <w:szCs w:val="24"/>
        </w:rPr>
        <w:t xml:space="preserve">vlastitih prihoda, a utrošeno 3.204.257 eura </w:t>
      </w:r>
      <w:r w:rsidR="00721F13" w:rsidRPr="00EA2F78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C774EF">
        <w:rPr>
          <w:rFonts w:ascii="Times New Roman" w:hAnsi="Times New Roman" w:cs="Times New Roman"/>
          <w:color w:val="000000"/>
          <w:sz w:val="24"/>
          <w:szCs w:val="24"/>
        </w:rPr>
        <w:t xml:space="preserve"> plaće i materijalna prava zaposlenih na vlastita sredstva, </w:t>
      </w:r>
      <w:r w:rsidR="00721F13" w:rsidRPr="00EA2F78">
        <w:rPr>
          <w:rFonts w:ascii="Times New Roman" w:hAnsi="Times New Roman" w:cs="Times New Roman"/>
          <w:color w:val="000000"/>
          <w:sz w:val="24"/>
          <w:szCs w:val="24"/>
        </w:rPr>
        <w:t xml:space="preserve"> pokriće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režijskih troškova, </w:t>
      </w:r>
      <w:r w:rsidR="00721F13" w:rsidRPr="00EA2F78">
        <w:rPr>
          <w:rFonts w:ascii="Times New Roman" w:hAnsi="Times New Roman" w:cs="Times New Roman"/>
          <w:color w:val="000000"/>
          <w:sz w:val="24"/>
          <w:szCs w:val="24"/>
        </w:rPr>
        <w:t xml:space="preserve">troškova koji nastanu obavljanjem poslova liječenja životinja na klinikama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774EF">
        <w:rPr>
          <w:rFonts w:ascii="Times New Roman" w:hAnsi="Times New Roman" w:cs="Times New Roman"/>
          <w:color w:val="000000"/>
          <w:sz w:val="24"/>
          <w:szCs w:val="24"/>
        </w:rPr>
        <w:t>materijal za potrebe redovnog poslovanja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577B" w:rsidRPr="00927915" w:rsidRDefault="003F577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4AF" w:rsidRPr="00927915" w:rsidRDefault="00927915" w:rsidP="00CA622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4002183"/>
      <w:r w:rsidRPr="00927915">
        <w:rPr>
          <w:rFonts w:ascii="Times New Roman" w:hAnsi="Times New Roman" w:cs="Times New Roman"/>
          <w:sz w:val="24"/>
          <w:szCs w:val="24"/>
        </w:rPr>
        <w:t>1.2</w:t>
      </w:r>
      <w:r w:rsidR="009024AF" w:rsidRPr="00927915">
        <w:rPr>
          <w:rFonts w:ascii="Times New Roman" w:hAnsi="Times New Roman" w:cs="Times New Roman"/>
          <w:sz w:val="24"/>
          <w:szCs w:val="24"/>
        </w:rPr>
        <w:t>. Obrazloženje programa- Prihodi za posebne namjene:</w:t>
      </w:r>
      <w:bookmarkEnd w:id="0"/>
      <w:r w:rsidR="00A02624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9024AF" w:rsidRPr="00927915">
        <w:rPr>
          <w:rFonts w:ascii="Times New Roman" w:hAnsi="Times New Roman" w:cs="Times New Roman"/>
          <w:sz w:val="24"/>
          <w:szCs w:val="24"/>
        </w:rPr>
        <w:t xml:space="preserve">prihodi od sufinanciranja </w:t>
      </w:r>
      <w:r w:rsidR="00A02624" w:rsidRPr="00927915">
        <w:rPr>
          <w:rFonts w:ascii="Times New Roman" w:hAnsi="Times New Roman" w:cs="Times New Roman"/>
          <w:sz w:val="24"/>
          <w:szCs w:val="24"/>
        </w:rPr>
        <w:t xml:space="preserve">cijene participacije školarina </w:t>
      </w:r>
      <w:r w:rsidRPr="00927915">
        <w:rPr>
          <w:rFonts w:ascii="Times New Roman" w:hAnsi="Times New Roman" w:cs="Times New Roman"/>
          <w:sz w:val="24"/>
          <w:szCs w:val="24"/>
        </w:rPr>
        <w:t xml:space="preserve"> - izvor 43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234"/>
        <w:gridCol w:w="1220"/>
        <w:gridCol w:w="1220"/>
        <w:gridCol w:w="1204"/>
        <w:gridCol w:w="1576"/>
      </w:tblGrid>
      <w:tr w:rsidR="00257BDE" w:rsidRPr="00927915" w:rsidTr="00403AC4">
        <w:tc>
          <w:tcPr>
            <w:tcW w:w="1767" w:type="dxa"/>
            <w:shd w:val="clear" w:color="auto" w:fill="D0CECE" w:themeFill="background2" w:themeFillShade="E6"/>
          </w:tcPr>
          <w:p w:rsidR="00257BDE" w:rsidRPr="00927915" w:rsidRDefault="00257BDE" w:rsidP="00257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257BDE" w:rsidP="00257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D0CECE" w:themeFill="background2" w:themeFillShade="E6"/>
            <w:vAlign w:val="center"/>
          </w:tcPr>
          <w:p w:rsidR="00257BDE" w:rsidRPr="00927915" w:rsidRDefault="00257BDE" w:rsidP="00257B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2022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:rsidR="00257BDE" w:rsidRPr="00927915" w:rsidRDefault="00257BDE" w:rsidP="00257B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Plan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:rsidR="00257BDE" w:rsidRPr="00927915" w:rsidRDefault="00257BDE" w:rsidP="00257B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1204" w:type="dxa"/>
            <w:shd w:val="clear" w:color="auto" w:fill="D0CECE" w:themeFill="background2" w:themeFillShade="E6"/>
            <w:vAlign w:val="center"/>
          </w:tcPr>
          <w:p w:rsidR="00257BDE" w:rsidRPr="00927915" w:rsidRDefault="00257BDE" w:rsidP="00257B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 2022./23.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:rsidR="00257BDE" w:rsidRDefault="00257BDE" w:rsidP="00257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  <w:p w:rsidR="00257BDE" w:rsidRPr="00927915" w:rsidRDefault="00257BDE" w:rsidP="00257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plan/Izvršenje 2023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7BDE" w:rsidRPr="00927915" w:rsidTr="00403AC4">
        <w:tc>
          <w:tcPr>
            <w:tcW w:w="1767" w:type="dxa"/>
          </w:tcPr>
          <w:p w:rsidR="001D145E" w:rsidRDefault="00257BDE" w:rsidP="00A736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 xml:space="preserve">A679088- </w:t>
            </w:r>
          </w:p>
          <w:p w:rsidR="00257BDE" w:rsidRPr="00927915" w:rsidRDefault="00257BDE" w:rsidP="00A736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izvor 43</w:t>
            </w:r>
          </w:p>
        </w:tc>
        <w:tc>
          <w:tcPr>
            <w:tcW w:w="1234" w:type="dxa"/>
          </w:tcPr>
          <w:p w:rsidR="00257BDE" w:rsidRPr="00927915" w:rsidRDefault="00257BDE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1D145E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2.148.384</w:t>
            </w:r>
          </w:p>
        </w:tc>
        <w:tc>
          <w:tcPr>
            <w:tcW w:w="1220" w:type="dxa"/>
          </w:tcPr>
          <w:p w:rsidR="00257BDE" w:rsidRPr="00927915" w:rsidRDefault="00257BDE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257BDE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2.053.744</w:t>
            </w:r>
          </w:p>
        </w:tc>
        <w:tc>
          <w:tcPr>
            <w:tcW w:w="1220" w:type="dxa"/>
          </w:tcPr>
          <w:p w:rsidR="00257BDE" w:rsidRPr="00927915" w:rsidRDefault="00257BDE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257BDE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2.060.229</w:t>
            </w:r>
          </w:p>
        </w:tc>
        <w:tc>
          <w:tcPr>
            <w:tcW w:w="1204" w:type="dxa"/>
          </w:tcPr>
          <w:p w:rsidR="00257BDE" w:rsidRDefault="00257BDE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45E" w:rsidRPr="00927915" w:rsidRDefault="001D145E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20" w:type="dxa"/>
          </w:tcPr>
          <w:p w:rsidR="001D145E" w:rsidRDefault="001D145E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1D145E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024AF" w:rsidRPr="00927915" w:rsidRDefault="009024AF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503" w:rsidRDefault="00993503" w:rsidP="00CA62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774EF">
        <w:rPr>
          <w:rFonts w:ascii="Times New Roman" w:hAnsi="Times New Roman" w:cs="Times New Roman"/>
          <w:color w:val="000000"/>
          <w:sz w:val="24"/>
          <w:szCs w:val="24"/>
        </w:rPr>
        <w:t>Prihodi od</w:t>
      </w:r>
      <w:r w:rsidRPr="00C774EF">
        <w:rPr>
          <w:rFonts w:ascii="Times New Roman" w:hAnsi="Times New Roman" w:cs="Times New Roman"/>
          <w:sz w:val="24"/>
          <w:szCs w:val="24"/>
        </w:rPr>
        <w:t xml:space="preserve"> sufinanciranja cijene participacije školarina</w:t>
      </w:r>
      <w:r w:rsidR="00993533" w:rsidRPr="00C77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74EF">
        <w:rPr>
          <w:rFonts w:ascii="Times New Roman" w:hAnsi="Times New Roman" w:cs="Times New Roman"/>
          <w:color w:val="000000"/>
          <w:sz w:val="24"/>
          <w:szCs w:val="24"/>
        </w:rPr>
        <w:t xml:space="preserve">i uplaćenih  </w:t>
      </w:r>
      <w:r w:rsidR="00C774EF" w:rsidRPr="00C774EF">
        <w:rPr>
          <w:rFonts w:ascii="Times New Roman" w:hAnsi="Times New Roman" w:cs="Times New Roman"/>
          <w:color w:val="000000"/>
          <w:sz w:val="24"/>
          <w:szCs w:val="24"/>
        </w:rPr>
        <w:t xml:space="preserve">školarina studenta </w:t>
      </w:r>
      <w:r w:rsidRPr="00C774EF">
        <w:rPr>
          <w:rFonts w:ascii="Times New Roman" w:hAnsi="Times New Roman" w:cs="Times New Roman"/>
          <w:color w:val="000000"/>
          <w:sz w:val="24"/>
          <w:szCs w:val="24"/>
        </w:rPr>
        <w:t xml:space="preserve"> studija na engleskom jeziku </w:t>
      </w:r>
      <w:proofErr w:type="spellStart"/>
      <w:r w:rsidR="00C774EF">
        <w:rPr>
          <w:rFonts w:ascii="Times New Roman" w:hAnsi="Times New Roman" w:cs="Times New Roman"/>
          <w:color w:val="000000"/>
          <w:sz w:val="24"/>
          <w:szCs w:val="24"/>
        </w:rPr>
        <w:t>oprihodovani</w:t>
      </w:r>
      <w:proofErr w:type="spellEnd"/>
      <w:r w:rsidR="00C774EF">
        <w:rPr>
          <w:rFonts w:ascii="Times New Roman" w:hAnsi="Times New Roman" w:cs="Times New Roman"/>
          <w:color w:val="000000"/>
          <w:sz w:val="24"/>
          <w:szCs w:val="24"/>
        </w:rPr>
        <w:t xml:space="preserve"> u iznosu 1.668.665</w:t>
      </w:r>
      <w:r w:rsidRPr="00C774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3533" w:rsidRPr="00C774EF">
        <w:rPr>
          <w:rFonts w:ascii="Times New Roman" w:hAnsi="Times New Roman" w:cs="Times New Roman"/>
          <w:color w:val="000000"/>
          <w:sz w:val="24"/>
          <w:szCs w:val="24"/>
        </w:rPr>
        <w:t xml:space="preserve">Prihodi </w:t>
      </w:r>
      <w:r w:rsidR="00C774EF" w:rsidRPr="00C774EF">
        <w:rPr>
          <w:rFonts w:ascii="Times New Roman" w:hAnsi="Times New Roman" w:cs="Times New Roman"/>
          <w:color w:val="000000"/>
          <w:sz w:val="24"/>
          <w:szCs w:val="24"/>
        </w:rPr>
        <w:t xml:space="preserve">za posebne namjene utrošeni su </w:t>
      </w:r>
      <w:r w:rsidR="00993533" w:rsidRPr="00C774EF">
        <w:rPr>
          <w:rFonts w:ascii="Times New Roman" w:hAnsi="Times New Roman" w:cs="Times New Roman"/>
          <w:color w:val="000000"/>
          <w:sz w:val="24"/>
          <w:szCs w:val="24"/>
        </w:rPr>
        <w:t>za pokriće troškova održavanja nastave na engleskom studiju kao i pokrića dijela troškova održavanja opreme i zgrada. Iz istog izvora fin</w:t>
      </w:r>
      <w:r w:rsidR="00C774EF" w:rsidRPr="00C774EF">
        <w:rPr>
          <w:rFonts w:ascii="Times New Roman" w:hAnsi="Times New Roman" w:cs="Times New Roman"/>
          <w:color w:val="000000"/>
          <w:sz w:val="24"/>
          <w:szCs w:val="24"/>
        </w:rPr>
        <w:t>anciranja u 2023. godini financirala</w:t>
      </w:r>
      <w:r w:rsidR="00993533" w:rsidRPr="00C774EF">
        <w:rPr>
          <w:rFonts w:ascii="Times New Roman" w:hAnsi="Times New Roman" w:cs="Times New Roman"/>
          <w:color w:val="000000"/>
          <w:sz w:val="24"/>
          <w:szCs w:val="24"/>
        </w:rPr>
        <w:t xml:space="preserve"> se otplata preostalog dijela kratkoročnog kredita podignutog 2022. godine za podmirenje rashoda za isplatu plaća po pravomoćnoj i ovršnoj presudi iz radnog spora pokrenutog 1994. godine u iznosu 530.891 eura</w:t>
      </w:r>
      <w:r w:rsidR="00993533" w:rsidRPr="007D062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F00F1F" w:rsidRPr="00F00F1F" w:rsidRDefault="00F00F1F" w:rsidP="00CA62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BE2B24" w:rsidRPr="00927915" w:rsidRDefault="00927915" w:rsidP="0092791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lastRenderedPageBreak/>
        <w:t>1.3</w:t>
      </w:r>
      <w:r w:rsidR="00BE2B24" w:rsidRPr="00927915">
        <w:rPr>
          <w:rFonts w:ascii="Times New Roman" w:hAnsi="Times New Roman" w:cs="Times New Roman"/>
          <w:sz w:val="24"/>
          <w:szCs w:val="24"/>
        </w:rPr>
        <w:t>. Obrazloženje programa- Ostale pomoći: prijenosi između proračunskih korisnika</w:t>
      </w:r>
      <w:r w:rsidRPr="00927915">
        <w:rPr>
          <w:rFonts w:ascii="Times New Roman" w:hAnsi="Times New Roman" w:cs="Times New Roman"/>
          <w:sz w:val="24"/>
          <w:szCs w:val="24"/>
        </w:rPr>
        <w:t xml:space="preserve"> – izvor 52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7"/>
        <w:gridCol w:w="1200"/>
        <w:gridCol w:w="1165"/>
        <w:gridCol w:w="1190"/>
        <w:gridCol w:w="1184"/>
        <w:gridCol w:w="1576"/>
      </w:tblGrid>
      <w:tr w:rsidR="00257BDE" w:rsidRPr="00927915" w:rsidTr="00257BDE">
        <w:tc>
          <w:tcPr>
            <w:tcW w:w="1627" w:type="dxa"/>
            <w:shd w:val="clear" w:color="auto" w:fill="D0CECE" w:themeFill="background2" w:themeFillShade="E6"/>
          </w:tcPr>
          <w:p w:rsidR="00257BDE" w:rsidRPr="00927915" w:rsidRDefault="00257BDE" w:rsidP="00257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257BDE" w:rsidP="00257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D0CECE" w:themeFill="background2" w:themeFillShade="E6"/>
            <w:vAlign w:val="center"/>
          </w:tcPr>
          <w:p w:rsidR="00257BDE" w:rsidRPr="00927915" w:rsidRDefault="00257BDE" w:rsidP="00257B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2022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shd w:val="clear" w:color="auto" w:fill="D0CECE" w:themeFill="background2" w:themeFillShade="E6"/>
            <w:vAlign w:val="center"/>
          </w:tcPr>
          <w:p w:rsidR="00257BDE" w:rsidRPr="00927915" w:rsidRDefault="00257BDE" w:rsidP="00257B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2023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D0CECE" w:themeFill="background2" w:themeFillShade="E6"/>
            <w:vAlign w:val="center"/>
          </w:tcPr>
          <w:p w:rsidR="00257BDE" w:rsidRPr="00927915" w:rsidRDefault="00257BDE" w:rsidP="00257B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1184" w:type="dxa"/>
            <w:shd w:val="clear" w:color="auto" w:fill="D0CECE" w:themeFill="background2" w:themeFillShade="E6"/>
            <w:vAlign w:val="center"/>
          </w:tcPr>
          <w:p w:rsidR="00257BDE" w:rsidRPr="00927915" w:rsidRDefault="00257BDE" w:rsidP="00257B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 2022./23.</w:t>
            </w:r>
          </w:p>
        </w:tc>
        <w:tc>
          <w:tcPr>
            <w:tcW w:w="1576" w:type="dxa"/>
            <w:shd w:val="clear" w:color="auto" w:fill="D0CECE" w:themeFill="background2" w:themeFillShade="E6"/>
            <w:vAlign w:val="center"/>
          </w:tcPr>
          <w:p w:rsidR="00257BDE" w:rsidRDefault="00257BDE" w:rsidP="00257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  <w:p w:rsidR="00257BDE" w:rsidRPr="00927915" w:rsidRDefault="00257BDE" w:rsidP="00257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plan/Izvršenje 2023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7BDE" w:rsidRPr="00927915" w:rsidTr="00257BDE">
        <w:tc>
          <w:tcPr>
            <w:tcW w:w="1627" w:type="dxa"/>
          </w:tcPr>
          <w:p w:rsidR="00257BDE" w:rsidRPr="00927915" w:rsidRDefault="00257BDE" w:rsidP="001437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A679088- izvor 52</w:t>
            </w:r>
          </w:p>
        </w:tc>
        <w:tc>
          <w:tcPr>
            <w:tcW w:w="1200" w:type="dxa"/>
          </w:tcPr>
          <w:p w:rsidR="00257BDE" w:rsidRPr="00927915" w:rsidRDefault="00257BDE" w:rsidP="00693D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9C4FFB" w:rsidP="00693D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251.073</w:t>
            </w:r>
          </w:p>
        </w:tc>
        <w:tc>
          <w:tcPr>
            <w:tcW w:w="1165" w:type="dxa"/>
          </w:tcPr>
          <w:p w:rsidR="00257BDE" w:rsidRPr="00927915" w:rsidRDefault="00257BDE" w:rsidP="00693D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257BDE" w:rsidP="00693D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307.787</w:t>
            </w:r>
          </w:p>
        </w:tc>
        <w:tc>
          <w:tcPr>
            <w:tcW w:w="1190" w:type="dxa"/>
          </w:tcPr>
          <w:p w:rsidR="00257BDE" w:rsidRPr="00927915" w:rsidRDefault="00257BDE" w:rsidP="00693D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257BDE" w:rsidP="00693D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280.276</w:t>
            </w:r>
          </w:p>
        </w:tc>
        <w:tc>
          <w:tcPr>
            <w:tcW w:w="1184" w:type="dxa"/>
          </w:tcPr>
          <w:p w:rsidR="00257BDE" w:rsidRDefault="00257BDE" w:rsidP="00693D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EF" w:rsidRPr="00927915" w:rsidRDefault="00693DEF" w:rsidP="00693D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76" w:type="dxa"/>
          </w:tcPr>
          <w:p w:rsidR="00257BDE" w:rsidRDefault="00257BDE" w:rsidP="00693D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EF" w:rsidRPr="00927915" w:rsidRDefault="00693DEF" w:rsidP="00693D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993503" w:rsidRPr="00927915" w:rsidRDefault="00993503" w:rsidP="00CA62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915">
        <w:rPr>
          <w:rFonts w:ascii="Times New Roman" w:hAnsi="Times New Roman" w:cs="Times New Roman"/>
          <w:color w:val="000000"/>
          <w:sz w:val="24"/>
          <w:szCs w:val="24"/>
        </w:rPr>
        <w:t>Prihodi od HZZ</w:t>
      </w:r>
      <w:r w:rsidR="00672595" w:rsidRPr="0092791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27915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="00155697" w:rsidRPr="00927915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="00672595" w:rsidRPr="00927915">
        <w:rPr>
          <w:rFonts w:ascii="Times New Roman" w:hAnsi="Times New Roman" w:cs="Times New Roman"/>
          <w:color w:val="000000"/>
          <w:sz w:val="24"/>
          <w:szCs w:val="24"/>
        </w:rPr>
        <w:t>.godini u</w:t>
      </w:r>
      <w:r w:rsidR="00155697" w:rsidRPr="00927915">
        <w:rPr>
          <w:rFonts w:ascii="Times New Roman" w:hAnsi="Times New Roman" w:cs="Times New Roman"/>
          <w:color w:val="000000"/>
          <w:sz w:val="24"/>
          <w:szCs w:val="24"/>
        </w:rPr>
        <w:t xml:space="preserve"> iznosu od 50.800 eura</w:t>
      </w:r>
      <w:r w:rsidRPr="00927915">
        <w:rPr>
          <w:rFonts w:ascii="Times New Roman" w:hAnsi="Times New Roman" w:cs="Times New Roman"/>
          <w:color w:val="000000"/>
          <w:sz w:val="24"/>
          <w:szCs w:val="24"/>
        </w:rPr>
        <w:t xml:space="preserve"> planirani su za pokriće troškova</w:t>
      </w:r>
      <w:r w:rsidR="003A382A">
        <w:rPr>
          <w:rFonts w:ascii="Times New Roman" w:hAnsi="Times New Roman" w:cs="Times New Roman"/>
          <w:color w:val="000000"/>
          <w:sz w:val="24"/>
          <w:szCs w:val="24"/>
        </w:rPr>
        <w:t xml:space="preserve"> a aktivnosti A557042 Program </w:t>
      </w:r>
      <w:proofErr w:type="spellStart"/>
      <w:r w:rsidR="003A382A">
        <w:rPr>
          <w:rFonts w:ascii="Times New Roman" w:hAnsi="Times New Roman" w:cs="Times New Roman"/>
          <w:color w:val="000000"/>
          <w:sz w:val="24"/>
          <w:szCs w:val="24"/>
        </w:rPr>
        <w:t>doktoranada</w:t>
      </w:r>
      <w:proofErr w:type="spellEnd"/>
      <w:r w:rsidR="003A382A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3A382A">
        <w:rPr>
          <w:rFonts w:ascii="Times New Roman" w:hAnsi="Times New Roman" w:cs="Times New Roman"/>
          <w:color w:val="000000"/>
          <w:sz w:val="24"/>
          <w:szCs w:val="24"/>
        </w:rPr>
        <w:t>poslijedoktoranada</w:t>
      </w:r>
      <w:proofErr w:type="spellEnd"/>
      <w:r w:rsidR="003A382A">
        <w:rPr>
          <w:rFonts w:ascii="Times New Roman" w:hAnsi="Times New Roman" w:cs="Times New Roman"/>
          <w:color w:val="000000"/>
          <w:sz w:val="24"/>
          <w:szCs w:val="24"/>
        </w:rPr>
        <w:t xml:space="preserve"> HRZZ</w:t>
      </w:r>
      <w:r w:rsidR="002523A7">
        <w:rPr>
          <w:rFonts w:ascii="Times New Roman" w:hAnsi="Times New Roman" w:cs="Times New Roman"/>
          <w:color w:val="000000"/>
          <w:sz w:val="24"/>
          <w:szCs w:val="24"/>
        </w:rPr>
        <w:t xml:space="preserve">, a izvršeni su u iznosu 40.846 eura. </w:t>
      </w:r>
    </w:p>
    <w:p w:rsidR="00F27AA2" w:rsidRPr="007D0622" w:rsidRDefault="002523A7" w:rsidP="007D06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izvoru ostalih pomoći iskazani je p</w:t>
      </w:r>
      <w:r w:rsidR="00155697" w:rsidRPr="00927915">
        <w:rPr>
          <w:rFonts w:ascii="Times New Roman" w:hAnsi="Times New Roman" w:cs="Times New Roman"/>
          <w:color w:val="000000"/>
          <w:sz w:val="24"/>
          <w:szCs w:val="24"/>
        </w:rPr>
        <w:t>rihod od Ministarstva poljoprivrede</w:t>
      </w:r>
      <w:r w:rsidR="003C2B28" w:rsidRPr="00927915">
        <w:rPr>
          <w:rFonts w:ascii="Times New Roman" w:hAnsi="Times New Roman" w:cs="Times New Roman"/>
          <w:color w:val="000000"/>
          <w:sz w:val="24"/>
          <w:szCs w:val="24"/>
        </w:rPr>
        <w:t xml:space="preserve"> za programe</w:t>
      </w:r>
      <w:r w:rsidR="00155697" w:rsidRPr="00927915">
        <w:rPr>
          <w:rFonts w:ascii="Times New Roman" w:hAnsi="Times New Roman" w:cs="Times New Roman"/>
          <w:color w:val="000000"/>
          <w:sz w:val="24"/>
          <w:szCs w:val="24"/>
        </w:rPr>
        <w:t xml:space="preserve"> zdravstvena zaštita životinja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37A4" w:rsidRPr="00927915" w:rsidRDefault="00672595" w:rsidP="00E07A8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1.</w:t>
      </w:r>
      <w:r w:rsidR="00216247" w:rsidRPr="00927915">
        <w:rPr>
          <w:rFonts w:ascii="Times New Roman" w:hAnsi="Times New Roman" w:cs="Times New Roman"/>
          <w:sz w:val="24"/>
          <w:szCs w:val="24"/>
        </w:rPr>
        <w:t xml:space="preserve">4. </w:t>
      </w:r>
      <w:r w:rsidRPr="00927915">
        <w:rPr>
          <w:rFonts w:ascii="Times New Roman" w:hAnsi="Times New Roman" w:cs="Times New Roman"/>
          <w:sz w:val="24"/>
          <w:szCs w:val="24"/>
        </w:rPr>
        <w:t xml:space="preserve"> Obrazloženje programa- EU projekti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096"/>
        <w:gridCol w:w="1173"/>
        <w:gridCol w:w="1120"/>
        <w:gridCol w:w="1130"/>
        <w:gridCol w:w="1576"/>
      </w:tblGrid>
      <w:tr w:rsidR="00257BDE" w:rsidRPr="00927915" w:rsidTr="00693DEF">
        <w:tc>
          <w:tcPr>
            <w:tcW w:w="1980" w:type="dxa"/>
            <w:shd w:val="clear" w:color="auto" w:fill="D0CECE" w:themeFill="background2" w:themeFillShade="E6"/>
          </w:tcPr>
          <w:p w:rsidR="00257BDE" w:rsidRPr="00927915" w:rsidRDefault="00257BDE" w:rsidP="00257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257BDE" w:rsidP="00257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D0CECE" w:themeFill="background2" w:themeFillShade="E6"/>
            <w:vAlign w:val="center"/>
          </w:tcPr>
          <w:p w:rsidR="00257BDE" w:rsidRPr="00927915" w:rsidRDefault="00257BDE" w:rsidP="00257B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2022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shd w:val="clear" w:color="auto" w:fill="D0CECE" w:themeFill="background2" w:themeFillShade="E6"/>
            <w:vAlign w:val="center"/>
          </w:tcPr>
          <w:p w:rsidR="00257BDE" w:rsidRPr="00927915" w:rsidRDefault="00257BDE" w:rsidP="00257B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Plan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  <w:shd w:val="clear" w:color="auto" w:fill="D0CECE" w:themeFill="background2" w:themeFillShade="E6"/>
            <w:vAlign w:val="center"/>
          </w:tcPr>
          <w:p w:rsidR="00257BDE" w:rsidRPr="00927915" w:rsidRDefault="00257BDE" w:rsidP="00257B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1130" w:type="dxa"/>
            <w:shd w:val="clear" w:color="auto" w:fill="D0CECE" w:themeFill="background2" w:themeFillShade="E6"/>
            <w:vAlign w:val="center"/>
          </w:tcPr>
          <w:p w:rsidR="00257BDE" w:rsidRPr="00927915" w:rsidRDefault="00257BDE" w:rsidP="00257B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 2022./23.</w:t>
            </w:r>
          </w:p>
        </w:tc>
        <w:tc>
          <w:tcPr>
            <w:tcW w:w="1576" w:type="dxa"/>
            <w:shd w:val="clear" w:color="auto" w:fill="D0CECE" w:themeFill="background2" w:themeFillShade="E6"/>
            <w:vAlign w:val="center"/>
          </w:tcPr>
          <w:p w:rsidR="00257BDE" w:rsidRDefault="00257BDE" w:rsidP="00257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  <w:p w:rsidR="00257BDE" w:rsidRPr="00927915" w:rsidRDefault="00257BDE" w:rsidP="00257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plan/Izvršenje 2023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7BDE" w:rsidRPr="00927915" w:rsidTr="00693DEF">
        <w:tc>
          <w:tcPr>
            <w:tcW w:w="1980" w:type="dxa"/>
          </w:tcPr>
          <w:p w:rsidR="00257BDE" w:rsidRPr="00927915" w:rsidRDefault="00257BDE" w:rsidP="00CA6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K679106- ESF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-561</w:t>
            </w:r>
          </w:p>
        </w:tc>
        <w:tc>
          <w:tcPr>
            <w:tcW w:w="1096" w:type="dxa"/>
          </w:tcPr>
          <w:p w:rsidR="00257BDE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EF" w:rsidRPr="00927915" w:rsidRDefault="00693DEF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266.694</w:t>
            </w:r>
          </w:p>
        </w:tc>
        <w:tc>
          <w:tcPr>
            <w:tcW w:w="1173" w:type="dxa"/>
          </w:tcPr>
          <w:p w:rsidR="00257BDE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257BDE" w:rsidP="009747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170.433</w:t>
            </w:r>
          </w:p>
        </w:tc>
        <w:tc>
          <w:tcPr>
            <w:tcW w:w="1120" w:type="dxa"/>
          </w:tcPr>
          <w:p w:rsidR="00257BDE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72.596</w:t>
            </w:r>
          </w:p>
        </w:tc>
        <w:tc>
          <w:tcPr>
            <w:tcW w:w="1130" w:type="dxa"/>
          </w:tcPr>
          <w:p w:rsidR="00257BDE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EF" w:rsidRPr="00927915" w:rsidRDefault="00693DEF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6" w:type="dxa"/>
          </w:tcPr>
          <w:p w:rsidR="00257BDE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EF" w:rsidRPr="00927915" w:rsidRDefault="00693DEF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57BDE" w:rsidRPr="00927915" w:rsidTr="00693DEF">
        <w:tc>
          <w:tcPr>
            <w:tcW w:w="1980" w:type="dxa"/>
          </w:tcPr>
          <w:p w:rsidR="00257BDE" w:rsidRDefault="00257BDE" w:rsidP="00CA6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A679078</w:t>
            </w:r>
          </w:p>
          <w:p w:rsidR="00257BDE" w:rsidRPr="00927915" w:rsidRDefault="00257BDE" w:rsidP="00CA6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EFRR -563</w:t>
            </w:r>
          </w:p>
        </w:tc>
        <w:tc>
          <w:tcPr>
            <w:tcW w:w="1096" w:type="dxa"/>
          </w:tcPr>
          <w:p w:rsidR="00257BDE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EF" w:rsidRPr="00927915" w:rsidRDefault="00693DEF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207.796</w:t>
            </w:r>
          </w:p>
        </w:tc>
        <w:tc>
          <w:tcPr>
            <w:tcW w:w="1173" w:type="dxa"/>
          </w:tcPr>
          <w:p w:rsidR="00257BDE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248.270</w:t>
            </w:r>
          </w:p>
        </w:tc>
        <w:tc>
          <w:tcPr>
            <w:tcW w:w="1120" w:type="dxa"/>
          </w:tcPr>
          <w:p w:rsidR="00257BDE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250.432</w:t>
            </w:r>
          </w:p>
        </w:tc>
        <w:tc>
          <w:tcPr>
            <w:tcW w:w="1130" w:type="dxa"/>
          </w:tcPr>
          <w:p w:rsidR="00257BDE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EF" w:rsidRPr="00927915" w:rsidRDefault="00693DEF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76" w:type="dxa"/>
          </w:tcPr>
          <w:p w:rsidR="00257BDE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EF" w:rsidRPr="00927915" w:rsidRDefault="00693DEF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57BDE" w:rsidRPr="00927915" w:rsidTr="00693DEF">
        <w:trPr>
          <w:trHeight w:val="884"/>
        </w:trPr>
        <w:tc>
          <w:tcPr>
            <w:tcW w:w="1980" w:type="dxa"/>
          </w:tcPr>
          <w:p w:rsidR="00257BDE" w:rsidRPr="00927915" w:rsidRDefault="00257BDE" w:rsidP="009747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 xml:space="preserve">A679078-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Ostale pomoći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 xml:space="preserve"> -52</w:t>
            </w:r>
          </w:p>
        </w:tc>
        <w:tc>
          <w:tcPr>
            <w:tcW w:w="1096" w:type="dxa"/>
          </w:tcPr>
          <w:p w:rsidR="00257BDE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FFB" w:rsidRPr="00927915" w:rsidRDefault="009C4FFB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629.378</w:t>
            </w:r>
          </w:p>
        </w:tc>
        <w:tc>
          <w:tcPr>
            <w:tcW w:w="1173" w:type="dxa"/>
          </w:tcPr>
          <w:p w:rsidR="00257BDE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406.775</w:t>
            </w:r>
          </w:p>
        </w:tc>
        <w:tc>
          <w:tcPr>
            <w:tcW w:w="1120" w:type="dxa"/>
          </w:tcPr>
          <w:p w:rsidR="00257BDE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287.745</w:t>
            </w:r>
          </w:p>
        </w:tc>
        <w:tc>
          <w:tcPr>
            <w:tcW w:w="1130" w:type="dxa"/>
          </w:tcPr>
          <w:p w:rsidR="00257BDE" w:rsidRDefault="00257BDE" w:rsidP="00611BE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EF" w:rsidRPr="00927915" w:rsidRDefault="00693DEF" w:rsidP="00611BE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76" w:type="dxa"/>
          </w:tcPr>
          <w:p w:rsidR="00257BDE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EF" w:rsidRPr="00927915" w:rsidRDefault="00693DEF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57BDE" w:rsidRPr="00927915" w:rsidTr="00693DEF">
        <w:trPr>
          <w:trHeight w:val="741"/>
        </w:trPr>
        <w:tc>
          <w:tcPr>
            <w:tcW w:w="1980" w:type="dxa"/>
          </w:tcPr>
          <w:p w:rsidR="00257BDE" w:rsidRPr="00927915" w:rsidRDefault="00257BDE" w:rsidP="00CA6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4009373"/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A679078</w:t>
            </w:r>
            <w:r w:rsidR="009B3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- pomoći EU-51</w:t>
            </w:r>
            <w:bookmarkEnd w:id="2"/>
          </w:p>
        </w:tc>
        <w:tc>
          <w:tcPr>
            <w:tcW w:w="1096" w:type="dxa"/>
          </w:tcPr>
          <w:p w:rsidR="00257BDE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EF" w:rsidRPr="00927915" w:rsidRDefault="00693DEF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93.073</w:t>
            </w:r>
          </w:p>
        </w:tc>
        <w:tc>
          <w:tcPr>
            <w:tcW w:w="1173" w:type="dxa"/>
          </w:tcPr>
          <w:p w:rsidR="00257BDE" w:rsidRDefault="00257BDE" w:rsidP="00611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257BDE" w:rsidP="00611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121.773</w:t>
            </w:r>
          </w:p>
        </w:tc>
        <w:tc>
          <w:tcPr>
            <w:tcW w:w="1120" w:type="dxa"/>
          </w:tcPr>
          <w:p w:rsidR="00257BDE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DE" w:rsidRPr="00927915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115.757</w:t>
            </w:r>
          </w:p>
        </w:tc>
        <w:tc>
          <w:tcPr>
            <w:tcW w:w="1130" w:type="dxa"/>
          </w:tcPr>
          <w:p w:rsidR="00257BDE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EF" w:rsidRPr="00927915" w:rsidRDefault="00693DEF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76" w:type="dxa"/>
          </w:tcPr>
          <w:p w:rsidR="00257BDE" w:rsidRDefault="00257BD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EF" w:rsidRPr="00927915" w:rsidRDefault="00693DEF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256D2E" w:rsidRPr="00927915" w:rsidRDefault="00256D2E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48C" w:rsidRPr="00927915" w:rsidRDefault="0001148C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 xml:space="preserve">U okviru ESF na </w:t>
      </w:r>
      <w:r w:rsidR="00547387" w:rsidRPr="00927915">
        <w:rPr>
          <w:rFonts w:ascii="Times New Roman" w:hAnsi="Times New Roman" w:cs="Times New Roman"/>
          <w:sz w:val="24"/>
          <w:szCs w:val="24"/>
        </w:rPr>
        <w:t xml:space="preserve">fakultetu se provodi </w:t>
      </w:r>
      <w:r w:rsidR="004A6661" w:rsidRPr="00927915">
        <w:rPr>
          <w:rFonts w:ascii="Times New Roman" w:hAnsi="Times New Roman" w:cs="Times New Roman"/>
          <w:sz w:val="24"/>
          <w:szCs w:val="24"/>
        </w:rPr>
        <w:t>projekt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4A6661" w:rsidRPr="00927915">
        <w:rPr>
          <w:rFonts w:ascii="Times New Roman" w:hAnsi="Times New Roman" w:cs="Times New Roman"/>
          <w:sz w:val="24"/>
          <w:szCs w:val="24"/>
        </w:rPr>
        <w:t>„</w:t>
      </w:r>
      <w:r w:rsidRPr="00927915">
        <w:rPr>
          <w:rFonts w:ascii="Times New Roman" w:hAnsi="Times New Roman" w:cs="Times New Roman"/>
          <w:sz w:val="24"/>
          <w:szCs w:val="24"/>
        </w:rPr>
        <w:t xml:space="preserve">Unapređenje stručne prakse na </w:t>
      </w:r>
      <w:proofErr w:type="spellStart"/>
      <w:r w:rsidRPr="00927915">
        <w:rPr>
          <w:rFonts w:ascii="Times New Roman" w:hAnsi="Times New Roman" w:cs="Times New Roman"/>
          <w:sz w:val="24"/>
          <w:szCs w:val="24"/>
        </w:rPr>
        <w:t>farmskim</w:t>
      </w:r>
      <w:proofErr w:type="spellEnd"/>
      <w:r w:rsidRPr="00927915">
        <w:rPr>
          <w:rFonts w:ascii="Times New Roman" w:hAnsi="Times New Roman" w:cs="Times New Roman"/>
          <w:sz w:val="24"/>
          <w:szCs w:val="24"/>
        </w:rPr>
        <w:t xml:space="preserve"> životinjama VETFARM</w:t>
      </w:r>
      <w:r w:rsidR="004A6661" w:rsidRPr="00927915">
        <w:rPr>
          <w:rFonts w:ascii="Times New Roman" w:hAnsi="Times New Roman" w:cs="Times New Roman"/>
          <w:sz w:val="24"/>
          <w:szCs w:val="24"/>
        </w:rPr>
        <w:t xml:space="preserve">“ </w:t>
      </w:r>
      <w:r w:rsidR="00207F92">
        <w:rPr>
          <w:rFonts w:ascii="Times New Roman" w:hAnsi="Times New Roman" w:cs="Times New Roman"/>
          <w:sz w:val="24"/>
          <w:szCs w:val="24"/>
        </w:rPr>
        <w:t>koji je završio</w:t>
      </w:r>
      <w:r w:rsidR="004A6661" w:rsidRPr="00927915">
        <w:rPr>
          <w:rFonts w:ascii="Times New Roman" w:hAnsi="Times New Roman" w:cs="Times New Roman"/>
          <w:sz w:val="24"/>
          <w:szCs w:val="24"/>
        </w:rPr>
        <w:t xml:space="preserve"> 2023 godine.</w:t>
      </w:r>
      <w:r w:rsidR="00547387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4A6661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AC70B6" w:rsidRPr="00927915">
        <w:rPr>
          <w:rFonts w:ascii="Times New Roman" w:hAnsi="Times New Roman" w:cs="Times New Roman"/>
          <w:sz w:val="24"/>
          <w:szCs w:val="24"/>
        </w:rPr>
        <w:t xml:space="preserve">Provedbom projekta „VETFARM“, studentima će se osigurati veći broj pacijenata iz skupine </w:t>
      </w:r>
      <w:proofErr w:type="spellStart"/>
      <w:r w:rsidR="00AC70B6" w:rsidRPr="00927915">
        <w:rPr>
          <w:rFonts w:ascii="Times New Roman" w:hAnsi="Times New Roman" w:cs="Times New Roman"/>
          <w:sz w:val="24"/>
          <w:szCs w:val="24"/>
        </w:rPr>
        <w:t>farmskih</w:t>
      </w:r>
      <w:proofErr w:type="spellEnd"/>
      <w:r w:rsidR="00AC70B6" w:rsidRPr="00927915">
        <w:rPr>
          <w:rFonts w:ascii="Times New Roman" w:hAnsi="Times New Roman" w:cs="Times New Roman"/>
          <w:sz w:val="24"/>
          <w:szCs w:val="24"/>
        </w:rPr>
        <w:t xml:space="preserve"> životinja i konja radi usavršavanja stečenih znanja i praktičnih kompetencija.</w:t>
      </w:r>
      <w:r w:rsidR="00AE4A52" w:rsidRPr="00927915">
        <w:t xml:space="preserve"> </w:t>
      </w:r>
      <w:r w:rsidR="00207F92">
        <w:rPr>
          <w:rFonts w:ascii="Times New Roman" w:hAnsi="Times New Roman" w:cs="Times New Roman"/>
          <w:sz w:val="24"/>
          <w:szCs w:val="24"/>
        </w:rPr>
        <w:t>Istodobno s</w:t>
      </w:r>
      <w:r w:rsidR="00AE4A52" w:rsidRPr="00927915">
        <w:rPr>
          <w:rFonts w:ascii="Times New Roman" w:hAnsi="Times New Roman" w:cs="Times New Roman"/>
          <w:sz w:val="24"/>
          <w:szCs w:val="24"/>
        </w:rPr>
        <w:t>e kroz odlaske na kongrese i edukacij</w:t>
      </w:r>
      <w:r w:rsidR="00207F92">
        <w:rPr>
          <w:rFonts w:ascii="Times New Roman" w:hAnsi="Times New Roman" w:cs="Times New Roman"/>
          <w:sz w:val="24"/>
          <w:szCs w:val="24"/>
        </w:rPr>
        <w:t>e podižu</w:t>
      </w:r>
      <w:r w:rsidR="00AE4A52" w:rsidRPr="00927915">
        <w:rPr>
          <w:rFonts w:ascii="Times New Roman" w:hAnsi="Times New Roman" w:cs="Times New Roman"/>
          <w:sz w:val="24"/>
          <w:szCs w:val="24"/>
        </w:rPr>
        <w:t xml:space="preserve"> stručne kompetencije fakultetskih nastavnika, kao i  nastavničke kompetencije terenskih veterinara – stručnih mentora (doktorat za po jednog djelatnika svake ustanove o trošku Fakulteta), koje su nužne za provedbu stručne prakse na terenu</w:t>
      </w:r>
    </w:p>
    <w:p w:rsidR="00005996" w:rsidRPr="00927915" w:rsidRDefault="00A37DB0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lastRenderedPageBreak/>
        <w:t xml:space="preserve">U okviru EFRR do 2023. godine </w:t>
      </w:r>
      <w:r w:rsidR="00AB67B2">
        <w:rPr>
          <w:rFonts w:ascii="Times New Roman" w:hAnsi="Times New Roman" w:cs="Times New Roman"/>
          <w:sz w:val="24"/>
          <w:szCs w:val="24"/>
        </w:rPr>
        <w:t xml:space="preserve">završio je </w:t>
      </w:r>
      <w:r w:rsidR="00DD282C" w:rsidRPr="00927915">
        <w:rPr>
          <w:rFonts w:ascii="Times New Roman" w:hAnsi="Times New Roman" w:cs="Times New Roman"/>
          <w:sz w:val="24"/>
          <w:szCs w:val="24"/>
        </w:rPr>
        <w:t>projek</w:t>
      </w:r>
      <w:r w:rsidR="0036322E" w:rsidRPr="00927915">
        <w:rPr>
          <w:rFonts w:ascii="Times New Roman" w:hAnsi="Times New Roman" w:cs="Times New Roman"/>
          <w:sz w:val="24"/>
          <w:szCs w:val="24"/>
        </w:rPr>
        <w:t xml:space="preserve">t </w:t>
      </w:r>
      <w:r w:rsidR="00DD282C" w:rsidRPr="00927915">
        <w:rPr>
          <w:rFonts w:ascii="Times New Roman" w:hAnsi="Times New Roman" w:cs="Times New Roman"/>
          <w:sz w:val="24"/>
          <w:szCs w:val="24"/>
        </w:rPr>
        <w:t>„</w:t>
      </w:r>
      <w:r w:rsidR="0036322E" w:rsidRPr="00927915">
        <w:rPr>
          <w:rFonts w:ascii="Times New Roman" w:hAnsi="Times New Roman" w:cs="Times New Roman"/>
          <w:sz w:val="24"/>
          <w:szCs w:val="24"/>
        </w:rPr>
        <w:t xml:space="preserve">Razvoj inovativnog brzog testa za dijagnostiku </w:t>
      </w:r>
      <w:proofErr w:type="spellStart"/>
      <w:r w:rsidR="0036322E" w:rsidRPr="00927915">
        <w:rPr>
          <w:rFonts w:ascii="Times New Roman" w:hAnsi="Times New Roman" w:cs="Times New Roman"/>
          <w:sz w:val="24"/>
          <w:szCs w:val="24"/>
        </w:rPr>
        <w:t>subkliničkog</w:t>
      </w:r>
      <w:proofErr w:type="spellEnd"/>
      <w:r w:rsidR="0036322E" w:rsidRPr="0092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2E" w:rsidRPr="00927915">
        <w:rPr>
          <w:rFonts w:ascii="Times New Roman" w:hAnsi="Times New Roman" w:cs="Times New Roman"/>
          <w:sz w:val="24"/>
          <w:szCs w:val="24"/>
        </w:rPr>
        <w:t>mastitisa</w:t>
      </w:r>
      <w:proofErr w:type="spellEnd"/>
      <w:r w:rsidR="0036322E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005996" w:rsidRPr="00927915">
        <w:rPr>
          <w:rFonts w:ascii="Times New Roman" w:hAnsi="Times New Roman" w:cs="Times New Roman"/>
          <w:sz w:val="24"/>
          <w:szCs w:val="24"/>
        </w:rPr>
        <w:t xml:space="preserve">u </w:t>
      </w:r>
      <w:r w:rsidR="0036322E" w:rsidRPr="00927915">
        <w:rPr>
          <w:rFonts w:ascii="Times New Roman" w:hAnsi="Times New Roman" w:cs="Times New Roman"/>
          <w:sz w:val="24"/>
          <w:szCs w:val="24"/>
        </w:rPr>
        <w:t>mliječnih krava</w:t>
      </w:r>
      <w:r w:rsidR="00DD282C" w:rsidRPr="00927915">
        <w:rPr>
          <w:rFonts w:ascii="Times New Roman" w:hAnsi="Times New Roman" w:cs="Times New Roman"/>
          <w:sz w:val="24"/>
          <w:szCs w:val="24"/>
        </w:rPr>
        <w:t>“</w:t>
      </w:r>
      <w:r w:rsidR="00005996" w:rsidRPr="00927915">
        <w:rPr>
          <w:rFonts w:ascii="Times New Roman" w:hAnsi="Times New Roman" w:cs="Times New Roman"/>
          <w:sz w:val="24"/>
          <w:szCs w:val="24"/>
        </w:rPr>
        <w:t>.</w:t>
      </w:r>
      <w:r w:rsidR="001F5E65" w:rsidRPr="00927915">
        <w:rPr>
          <w:rFonts w:ascii="Times New Roman" w:hAnsi="Times New Roman" w:cs="Times New Roman"/>
          <w:sz w:val="24"/>
          <w:szCs w:val="24"/>
        </w:rPr>
        <w:t xml:space="preserve"> Projekt je usmjeren na detekciju, karakterizaciju i kvantifikaciju </w:t>
      </w:r>
      <w:proofErr w:type="spellStart"/>
      <w:r w:rsidR="001F5E65" w:rsidRPr="00927915">
        <w:rPr>
          <w:rFonts w:ascii="Times New Roman" w:hAnsi="Times New Roman" w:cs="Times New Roman"/>
          <w:sz w:val="24"/>
          <w:szCs w:val="24"/>
        </w:rPr>
        <w:t>proteomskog</w:t>
      </w:r>
      <w:proofErr w:type="spellEnd"/>
      <w:r w:rsidR="001F5E65" w:rsidRPr="00927915">
        <w:rPr>
          <w:rFonts w:ascii="Times New Roman" w:hAnsi="Times New Roman" w:cs="Times New Roman"/>
          <w:sz w:val="24"/>
          <w:szCs w:val="24"/>
        </w:rPr>
        <w:t xml:space="preserve"> profila mlijeka krava sa </w:t>
      </w:r>
      <w:proofErr w:type="spellStart"/>
      <w:r w:rsidR="001F5E65" w:rsidRPr="00927915">
        <w:rPr>
          <w:rFonts w:ascii="Times New Roman" w:hAnsi="Times New Roman" w:cs="Times New Roman"/>
          <w:sz w:val="24"/>
          <w:szCs w:val="24"/>
        </w:rPr>
        <w:t>subkliničkim</w:t>
      </w:r>
      <w:proofErr w:type="spellEnd"/>
      <w:r w:rsidR="001F5E65" w:rsidRPr="0092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E65" w:rsidRPr="00927915">
        <w:rPr>
          <w:rFonts w:ascii="Times New Roman" w:hAnsi="Times New Roman" w:cs="Times New Roman"/>
          <w:sz w:val="24"/>
          <w:szCs w:val="24"/>
        </w:rPr>
        <w:t>mastitisom</w:t>
      </w:r>
      <w:proofErr w:type="spellEnd"/>
      <w:r w:rsidR="001F5E65" w:rsidRPr="00927915">
        <w:rPr>
          <w:rFonts w:ascii="Times New Roman" w:hAnsi="Times New Roman" w:cs="Times New Roman"/>
          <w:sz w:val="24"/>
          <w:szCs w:val="24"/>
        </w:rPr>
        <w:t xml:space="preserve">, s ciljem primjene naprednih, inovativnih i najsuvremenijih tehnologija u razvoju i stvaranju novog dijagnostičkog testa za </w:t>
      </w:r>
      <w:proofErr w:type="spellStart"/>
      <w:r w:rsidR="001F5E65" w:rsidRPr="00927915">
        <w:rPr>
          <w:rFonts w:ascii="Times New Roman" w:hAnsi="Times New Roman" w:cs="Times New Roman"/>
          <w:sz w:val="24"/>
          <w:szCs w:val="24"/>
        </w:rPr>
        <w:t>subklinički</w:t>
      </w:r>
      <w:proofErr w:type="spellEnd"/>
      <w:r w:rsidR="001F5E65" w:rsidRPr="0092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E65" w:rsidRPr="00927915">
        <w:rPr>
          <w:rFonts w:ascii="Times New Roman" w:hAnsi="Times New Roman" w:cs="Times New Roman"/>
          <w:sz w:val="24"/>
          <w:szCs w:val="24"/>
        </w:rPr>
        <w:t>mastitis</w:t>
      </w:r>
      <w:proofErr w:type="spellEnd"/>
      <w:r w:rsidR="001F5E65" w:rsidRPr="00927915">
        <w:rPr>
          <w:rFonts w:ascii="Times New Roman" w:hAnsi="Times New Roman" w:cs="Times New Roman"/>
          <w:sz w:val="24"/>
          <w:szCs w:val="24"/>
        </w:rPr>
        <w:t>.</w:t>
      </w:r>
    </w:p>
    <w:p w:rsidR="00AC70B6" w:rsidRPr="00927915" w:rsidRDefault="007E5A56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 xml:space="preserve">U okviru aktivnosti </w:t>
      </w:r>
      <w:r w:rsidR="00C233D6" w:rsidRPr="00927915">
        <w:rPr>
          <w:rFonts w:ascii="Times New Roman" w:hAnsi="Times New Roman" w:cs="Times New Roman"/>
          <w:sz w:val="24"/>
          <w:szCs w:val="24"/>
        </w:rPr>
        <w:t>A679078- te</w:t>
      </w:r>
      <w:r w:rsidR="00DD282C" w:rsidRPr="00927915">
        <w:rPr>
          <w:rFonts w:ascii="Times New Roman" w:hAnsi="Times New Roman" w:cs="Times New Roman"/>
          <w:sz w:val="24"/>
          <w:szCs w:val="24"/>
        </w:rPr>
        <w:t>kuće pomoći od drugog proračuna –</w:t>
      </w:r>
      <w:r w:rsidR="00B9510F" w:rsidRPr="00927915">
        <w:rPr>
          <w:rFonts w:ascii="Times New Roman" w:hAnsi="Times New Roman" w:cs="Times New Roman"/>
          <w:sz w:val="24"/>
          <w:szCs w:val="24"/>
        </w:rPr>
        <w:t xml:space="preserve"> izvor </w:t>
      </w:r>
      <w:r w:rsidR="0043174F">
        <w:rPr>
          <w:rFonts w:ascii="Times New Roman" w:hAnsi="Times New Roman" w:cs="Times New Roman"/>
          <w:sz w:val="24"/>
          <w:szCs w:val="24"/>
        </w:rPr>
        <w:t>52 iskazana</w:t>
      </w:r>
      <w:r w:rsidR="00C233D6" w:rsidRPr="00927915">
        <w:rPr>
          <w:rFonts w:ascii="Times New Roman" w:hAnsi="Times New Roman" w:cs="Times New Roman"/>
          <w:sz w:val="24"/>
          <w:szCs w:val="24"/>
        </w:rPr>
        <w:t xml:space="preserve"> su s</w:t>
      </w:r>
      <w:r w:rsidR="0043174F">
        <w:rPr>
          <w:rFonts w:ascii="Times New Roman" w:hAnsi="Times New Roman" w:cs="Times New Roman"/>
          <w:sz w:val="24"/>
          <w:szCs w:val="24"/>
        </w:rPr>
        <w:t xml:space="preserve">redstva </w:t>
      </w:r>
      <w:r w:rsidR="00DD282C" w:rsidRPr="00927915">
        <w:rPr>
          <w:rFonts w:ascii="Times New Roman" w:hAnsi="Times New Roman" w:cs="Times New Roman"/>
          <w:sz w:val="24"/>
          <w:szCs w:val="24"/>
        </w:rPr>
        <w:t xml:space="preserve">nositelja projekta </w:t>
      </w:r>
      <w:r w:rsidR="001E4153" w:rsidRPr="00927915">
        <w:rPr>
          <w:rFonts w:ascii="Times New Roman" w:hAnsi="Times New Roman" w:cs="Times New Roman"/>
          <w:sz w:val="24"/>
          <w:szCs w:val="24"/>
        </w:rPr>
        <w:t>Ustanove za istraživanje i širenje znanja u području prehrane i zdravlja CEKOM</w:t>
      </w:r>
      <w:r w:rsidR="00515A65" w:rsidRPr="00927915">
        <w:rPr>
          <w:rFonts w:ascii="Times New Roman" w:hAnsi="Times New Roman" w:cs="Times New Roman"/>
          <w:sz w:val="24"/>
          <w:szCs w:val="24"/>
        </w:rPr>
        <w:t xml:space="preserve"> 3LJ</w:t>
      </w:r>
      <w:r w:rsidR="001E4153" w:rsidRPr="00927915">
        <w:rPr>
          <w:rFonts w:ascii="Times New Roman" w:hAnsi="Times New Roman" w:cs="Times New Roman"/>
          <w:sz w:val="24"/>
          <w:szCs w:val="24"/>
        </w:rPr>
        <w:t>.</w:t>
      </w:r>
      <w:r w:rsidR="00AB67B2">
        <w:rPr>
          <w:rFonts w:ascii="Times New Roman" w:hAnsi="Times New Roman" w:cs="Times New Roman"/>
          <w:sz w:val="24"/>
          <w:szCs w:val="24"/>
        </w:rPr>
        <w:t xml:space="preserve"> </w:t>
      </w:r>
      <w:r w:rsidR="00DD282C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AB67B2">
        <w:rPr>
          <w:rFonts w:ascii="Times New Roman" w:hAnsi="Times New Roman" w:cs="Times New Roman"/>
          <w:sz w:val="24"/>
          <w:szCs w:val="24"/>
        </w:rPr>
        <w:t>EU p</w:t>
      </w:r>
      <w:r w:rsidR="001E4153" w:rsidRPr="00927915">
        <w:rPr>
          <w:rFonts w:ascii="Times New Roman" w:hAnsi="Times New Roman" w:cs="Times New Roman"/>
          <w:sz w:val="24"/>
          <w:szCs w:val="24"/>
        </w:rPr>
        <w:t>rojekt CEKOM 3LJ razvit će specifične nove proizvode temeljene na samoniklim vrstama ljekovitog i aromatičnog bilja Dalmatinske zagore. Kroz razvoj novih proizvoda temeljenih na navedenom prirodnom potencijalu omogućit će se dodana vrijednost postojećoj proizvodnji zainteresiranih poduzetnika i ulazak na tržište zdrave i funkcionalne hrane</w:t>
      </w:r>
    </w:p>
    <w:p w:rsidR="008440B8" w:rsidRPr="00927915" w:rsidRDefault="00B9510F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 xml:space="preserve">U okviru aktivnosti </w:t>
      </w:r>
      <w:r w:rsidR="00C233D6" w:rsidRPr="00927915">
        <w:rPr>
          <w:rFonts w:ascii="Times New Roman" w:hAnsi="Times New Roman" w:cs="Times New Roman"/>
          <w:sz w:val="24"/>
          <w:szCs w:val="24"/>
        </w:rPr>
        <w:t xml:space="preserve">A679078- tekući prijenosi istog proračuna </w:t>
      </w:r>
      <w:r w:rsidRPr="00927915">
        <w:rPr>
          <w:rFonts w:ascii="Times New Roman" w:hAnsi="Times New Roman" w:cs="Times New Roman"/>
          <w:sz w:val="24"/>
          <w:szCs w:val="24"/>
        </w:rPr>
        <w:t xml:space="preserve">– izvor </w:t>
      </w:r>
      <w:r w:rsidR="00C233D6" w:rsidRPr="00927915">
        <w:rPr>
          <w:rFonts w:ascii="Times New Roman" w:hAnsi="Times New Roman" w:cs="Times New Roman"/>
          <w:sz w:val="24"/>
          <w:szCs w:val="24"/>
        </w:rPr>
        <w:t xml:space="preserve">52 </w:t>
      </w:r>
      <w:r w:rsidR="0043174F">
        <w:rPr>
          <w:rFonts w:ascii="Times New Roman" w:hAnsi="Times New Roman" w:cs="Times New Roman"/>
          <w:sz w:val="24"/>
          <w:szCs w:val="24"/>
        </w:rPr>
        <w:t>prikazana</w:t>
      </w:r>
      <w:r w:rsidRPr="00927915">
        <w:rPr>
          <w:rFonts w:ascii="Times New Roman" w:hAnsi="Times New Roman" w:cs="Times New Roman"/>
          <w:sz w:val="24"/>
          <w:szCs w:val="24"/>
        </w:rPr>
        <w:t xml:space="preserve"> su </w:t>
      </w:r>
      <w:r w:rsidR="00C233D6" w:rsidRPr="00927915">
        <w:rPr>
          <w:rFonts w:ascii="Times New Roman" w:hAnsi="Times New Roman" w:cs="Times New Roman"/>
          <w:sz w:val="24"/>
          <w:szCs w:val="24"/>
        </w:rPr>
        <w:t>sredstv</w:t>
      </w:r>
      <w:r w:rsidR="00DD282C" w:rsidRPr="00927915">
        <w:rPr>
          <w:rFonts w:ascii="Times New Roman" w:hAnsi="Times New Roman" w:cs="Times New Roman"/>
          <w:sz w:val="24"/>
          <w:szCs w:val="24"/>
        </w:rPr>
        <w:t>a</w:t>
      </w:r>
      <w:r w:rsidRPr="00927915">
        <w:rPr>
          <w:rFonts w:ascii="Times New Roman" w:hAnsi="Times New Roman" w:cs="Times New Roman"/>
          <w:sz w:val="24"/>
          <w:szCs w:val="24"/>
        </w:rPr>
        <w:t xml:space="preserve"> za projekta </w:t>
      </w:r>
      <w:r w:rsidR="00AC70B6" w:rsidRPr="00927915">
        <w:rPr>
          <w:rFonts w:ascii="Times New Roman" w:hAnsi="Times New Roman" w:cs="Times New Roman"/>
          <w:sz w:val="24"/>
          <w:szCs w:val="24"/>
        </w:rPr>
        <w:t xml:space="preserve">Obzor 2020-OsteoproSpine.  </w:t>
      </w:r>
      <w:proofErr w:type="spellStart"/>
      <w:r w:rsidR="00AC70B6" w:rsidRPr="00927915">
        <w:rPr>
          <w:rFonts w:ascii="Times New Roman" w:hAnsi="Times New Roman" w:cs="Times New Roman"/>
          <w:sz w:val="24"/>
          <w:szCs w:val="24"/>
        </w:rPr>
        <w:t>OSTEOproSPINE</w:t>
      </w:r>
      <w:proofErr w:type="spellEnd"/>
      <w:r w:rsidR="00AC70B6" w:rsidRPr="00927915">
        <w:rPr>
          <w:rFonts w:ascii="Times New Roman" w:hAnsi="Times New Roman" w:cs="Times New Roman"/>
          <w:sz w:val="24"/>
          <w:szCs w:val="24"/>
        </w:rPr>
        <w:t xml:space="preserve"> je projekt </w:t>
      </w:r>
      <w:proofErr w:type="spellStart"/>
      <w:r w:rsidR="00AC70B6" w:rsidRPr="00927915">
        <w:rPr>
          <w:rFonts w:ascii="Times New Roman" w:hAnsi="Times New Roman" w:cs="Times New Roman"/>
          <w:sz w:val="24"/>
          <w:szCs w:val="24"/>
        </w:rPr>
        <w:t>Horizon</w:t>
      </w:r>
      <w:proofErr w:type="spellEnd"/>
      <w:r w:rsidR="00AC70B6" w:rsidRPr="00927915">
        <w:rPr>
          <w:rFonts w:ascii="Times New Roman" w:hAnsi="Times New Roman" w:cs="Times New Roman"/>
          <w:sz w:val="24"/>
          <w:szCs w:val="24"/>
        </w:rPr>
        <w:t xml:space="preserve"> 2020, koji traje pet godina i u njega je uključeno 12 partnera iz 6 zemalja. Financira ga Europska unija. Voditelj projekta je Medicinski fakultet u Zagrebu, a Veterinarski je fakultet u Zagrebu jedan od partnera zadužen za izvođenje animalne studije. </w:t>
      </w:r>
    </w:p>
    <w:p w:rsidR="00C233D6" w:rsidRPr="00927915" w:rsidRDefault="008440B8" w:rsidP="00AE4A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 xml:space="preserve">U svrhu unaprjeđenja oporavilišta za divlje životinje na Veterinarskome fakultetu koje djeluje od 2017. godine odlukom Ministarstva zaštite okoliša i energetike,  početkom 2021. godine započeo je projekt pod nazivom „Unaprjeđenje i povećanje kapaciteta oporavilišta za divlje životinje na Veterinarskom fakultetu – </w:t>
      </w:r>
      <w:proofErr w:type="spellStart"/>
      <w:r w:rsidRPr="00927915">
        <w:rPr>
          <w:rFonts w:ascii="Times New Roman" w:hAnsi="Times New Roman" w:cs="Times New Roman"/>
          <w:sz w:val="24"/>
          <w:szCs w:val="24"/>
        </w:rPr>
        <w:t>WildRescueVEF</w:t>
      </w:r>
      <w:proofErr w:type="spellEnd"/>
      <w:r w:rsidRPr="00927915">
        <w:rPr>
          <w:rFonts w:ascii="Times New Roman" w:hAnsi="Times New Roman" w:cs="Times New Roman"/>
          <w:sz w:val="24"/>
          <w:szCs w:val="24"/>
        </w:rPr>
        <w:t>“ koji se provodi u okviru Operativnog programa „Konkuren</w:t>
      </w:r>
      <w:r w:rsidR="00AE4A52" w:rsidRPr="00927915">
        <w:rPr>
          <w:rFonts w:ascii="Times New Roman" w:hAnsi="Times New Roman" w:cs="Times New Roman"/>
          <w:sz w:val="24"/>
          <w:szCs w:val="24"/>
        </w:rPr>
        <w:t xml:space="preserve">tnost i kohezija 2014. – 2020. </w:t>
      </w:r>
      <w:r w:rsidRPr="00927915">
        <w:rPr>
          <w:rFonts w:ascii="Times New Roman" w:hAnsi="Times New Roman" w:cs="Times New Roman"/>
          <w:sz w:val="24"/>
          <w:szCs w:val="24"/>
        </w:rPr>
        <w:t xml:space="preserve">U periodu </w:t>
      </w:r>
      <w:r w:rsidR="00456AD9">
        <w:rPr>
          <w:rFonts w:ascii="Times New Roman" w:hAnsi="Times New Roman" w:cs="Times New Roman"/>
          <w:sz w:val="24"/>
          <w:szCs w:val="24"/>
        </w:rPr>
        <w:t xml:space="preserve">trajanja projekta, preuredio </w:t>
      </w:r>
      <w:r w:rsidRPr="00927915">
        <w:rPr>
          <w:rFonts w:ascii="Times New Roman" w:hAnsi="Times New Roman" w:cs="Times New Roman"/>
          <w:sz w:val="24"/>
          <w:szCs w:val="24"/>
        </w:rPr>
        <w:t>se unutarnji i vanjski prostori Veterinarskoga fakulteta kako bi se povećao kapacitet smještaja za divlje životinje, te će se nabaviti nova suvremena oprema.</w:t>
      </w:r>
      <w:r w:rsidR="00AE4A52" w:rsidRPr="00927915">
        <w:t xml:space="preserve"> </w:t>
      </w:r>
      <w:r w:rsidR="00AE4A52" w:rsidRPr="00927915">
        <w:rPr>
          <w:rFonts w:ascii="Times New Roman" w:hAnsi="Times New Roman" w:cs="Times New Roman"/>
          <w:sz w:val="24"/>
          <w:szCs w:val="24"/>
        </w:rPr>
        <w:t xml:space="preserve">Osim samog zbrinjavanja ozlijeđenih i bolesnih životinja, cilj projekta je i edukacija djelatnika oporavilišta kroz razne radionice, kongrese i tečajeve za </w:t>
      </w:r>
      <w:proofErr w:type="spellStart"/>
      <w:r w:rsidR="00AE4A52" w:rsidRPr="00927915">
        <w:rPr>
          <w:rFonts w:ascii="Times New Roman" w:hAnsi="Times New Roman" w:cs="Times New Roman"/>
          <w:sz w:val="24"/>
          <w:szCs w:val="24"/>
        </w:rPr>
        <w:t>rehabilitatore</w:t>
      </w:r>
      <w:proofErr w:type="spellEnd"/>
      <w:r w:rsidR="00AE4A52" w:rsidRPr="00927915">
        <w:rPr>
          <w:rFonts w:ascii="Times New Roman" w:hAnsi="Times New Roman" w:cs="Times New Roman"/>
          <w:sz w:val="24"/>
          <w:szCs w:val="24"/>
        </w:rPr>
        <w:t xml:space="preserve">, te kroz  posjete drugim oporavilištima u zemlji i inozemstvu. Jedan od glavnih ciljeva oporavilišta je edukacija široke populacije o zaštiti prirode i </w:t>
      </w:r>
      <w:proofErr w:type="spellStart"/>
      <w:r w:rsidR="00AE4A52" w:rsidRPr="00927915">
        <w:rPr>
          <w:rFonts w:ascii="Times New Roman" w:hAnsi="Times New Roman" w:cs="Times New Roman"/>
          <w:sz w:val="24"/>
          <w:szCs w:val="24"/>
        </w:rPr>
        <w:t>bioraznolikosti</w:t>
      </w:r>
      <w:proofErr w:type="spellEnd"/>
      <w:r w:rsidR="00AE4A52" w:rsidRPr="00927915">
        <w:rPr>
          <w:rFonts w:ascii="Times New Roman" w:hAnsi="Times New Roman" w:cs="Times New Roman"/>
          <w:sz w:val="24"/>
          <w:szCs w:val="24"/>
        </w:rPr>
        <w:t>, osobito edukacije mladih. Kroz interaktivne radionice, učenici osnovnih i srednjih škola moći će se upoznati s divljim životinjama koje nas okružuju, postupcima u slučaju pronalaska životinje, te važnosti očuvanja pr</w:t>
      </w:r>
      <w:r w:rsidR="00456AD9">
        <w:rPr>
          <w:rFonts w:ascii="Times New Roman" w:hAnsi="Times New Roman" w:cs="Times New Roman"/>
          <w:sz w:val="24"/>
          <w:szCs w:val="24"/>
        </w:rPr>
        <w:t xml:space="preserve">irode i </w:t>
      </w:r>
      <w:proofErr w:type="spellStart"/>
      <w:r w:rsidR="00456AD9">
        <w:rPr>
          <w:rFonts w:ascii="Times New Roman" w:hAnsi="Times New Roman" w:cs="Times New Roman"/>
          <w:sz w:val="24"/>
          <w:szCs w:val="24"/>
        </w:rPr>
        <w:t>bioraznolikosti</w:t>
      </w:r>
      <w:proofErr w:type="spellEnd"/>
      <w:r w:rsidR="00456AD9">
        <w:rPr>
          <w:rFonts w:ascii="Times New Roman" w:hAnsi="Times New Roman" w:cs="Times New Roman"/>
          <w:sz w:val="24"/>
          <w:szCs w:val="24"/>
        </w:rPr>
        <w:t>. Izradile su se</w:t>
      </w:r>
      <w:r w:rsidR="00AE4A52" w:rsidRPr="00927915">
        <w:rPr>
          <w:rFonts w:ascii="Times New Roman" w:hAnsi="Times New Roman" w:cs="Times New Roman"/>
          <w:sz w:val="24"/>
          <w:szCs w:val="24"/>
        </w:rPr>
        <w:t xml:space="preserve"> edukativne brošure o divljim životinjama. Studenti </w:t>
      </w:r>
      <w:r w:rsidR="00456AD9">
        <w:rPr>
          <w:rFonts w:ascii="Times New Roman" w:hAnsi="Times New Roman" w:cs="Times New Roman"/>
          <w:sz w:val="24"/>
          <w:szCs w:val="24"/>
        </w:rPr>
        <w:t>se mogu</w:t>
      </w:r>
      <w:r w:rsidR="00AE4A52" w:rsidRPr="00927915">
        <w:rPr>
          <w:rFonts w:ascii="Times New Roman" w:hAnsi="Times New Roman" w:cs="Times New Roman"/>
          <w:sz w:val="24"/>
          <w:szCs w:val="24"/>
        </w:rPr>
        <w:t xml:space="preserve"> uključiti u rad oporavilišta kao volonteri. Kroz </w:t>
      </w:r>
      <w:proofErr w:type="spellStart"/>
      <w:r w:rsidR="00AE4A52" w:rsidRPr="00927915">
        <w:rPr>
          <w:rFonts w:ascii="Times New Roman" w:hAnsi="Times New Roman" w:cs="Times New Roman"/>
          <w:sz w:val="24"/>
          <w:szCs w:val="24"/>
        </w:rPr>
        <w:t>volonitiranje</w:t>
      </w:r>
      <w:proofErr w:type="spellEnd"/>
      <w:r w:rsidR="00AE4A52" w:rsidRPr="00927915">
        <w:rPr>
          <w:rFonts w:ascii="Times New Roman" w:hAnsi="Times New Roman" w:cs="Times New Roman"/>
          <w:sz w:val="24"/>
          <w:szCs w:val="24"/>
        </w:rPr>
        <w:t xml:space="preserve"> će naučiti brojne stvari vezane uz ekologiju, biologiju i patologiju divljih životinja, a zajedno s djelatnicima oporavilišta imat će priliku sudjelovati i u brojnim </w:t>
      </w:r>
      <w:r w:rsidR="00AE4A52" w:rsidRPr="00927915">
        <w:rPr>
          <w:rFonts w:ascii="Times New Roman" w:hAnsi="Times New Roman" w:cs="Times New Roman"/>
          <w:sz w:val="24"/>
          <w:szCs w:val="24"/>
        </w:rPr>
        <w:lastRenderedPageBreak/>
        <w:t>edukativnim aktivnostima te raznim javnim događajima i festivalima koji promiču zaštitu prirode i edukaciju budućih generacija.</w:t>
      </w:r>
    </w:p>
    <w:p w:rsidR="007F7FE3" w:rsidRDefault="007F7FE3" w:rsidP="00BE2B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U okviru aktivnosti</w:t>
      </w:r>
      <w:r w:rsidR="00456AD9">
        <w:rPr>
          <w:rFonts w:ascii="Times New Roman" w:hAnsi="Times New Roman" w:cs="Times New Roman"/>
          <w:sz w:val="24"/>
          <w:szCs w:val="24"/>
        </w:rPr>
        <w:t xml:space="preserve"> A679078- pomoći EU-51 iskazani su prihodi i rashodi</w:t>
      </w:r>
      <w:r w:rsidR="00BE2B24" w:rsidRPr="00927915">
        <w:rPr>
          <w:rFonts w:ascii="Times New Roman" w:hAnsi="Times New Roman" w:cs="Times New Roman"/>
          <w:sz w:val="24"/>
          <w:szCs w:val="24"/>
        </w:rPr>
        <w:t xml:space="preserve"> LIFE LYNX </w:t>
      </w:r>
      <w:r w:rsidR="00AD5040" w:rsidRPr="00927915">
        <w:rPr>
          <w:rFonts w:ascii="Times New Roman" w:hAnsi="Times New Roman" w:cs="Times New Roman"/>
          <w:sz w:val="24"/>
          <w:szCs w:val="24"/>
        </w:rPr>
        <w:t xml:space="preserve">16 NAT projekta, </w:t>
      </w:r>
      <w:r w:rsidR="00AD5040" w:rsidRPr="00927915">
        <w:t xml:space="preserve"> </w:t>
      </w:r>
      <w:r w:rsidR="00BE2B24" w:rsidRPr="00927915">
        <w:rPr>
          <w:rFonts w:ascii="Times New Roman" w:hAnsi="Times New Roman" w:cs="Times New Roman"/>
          <w:sz w:val="24"/>
          <w:szCs w:val="24"/>
        </w:rPr>
        <w:t xml:space="preserve">te projekata započetih 2022. godine projekt </w:t>
      </w:r>
      <w:r w:rsidR="00AD5040" w:rsidRPr="00927915">
        <w:rPr>
          <w:rFonts w:ascii="Times New Roman" w:hAnsi="Times New Roman" w:cs="Times New Roman"/>
          <w:sz w:val="24"/>
          <w:szCs w:val="24"/>
        </w:rPr>
        <w:t xml:space="preserve">LIFE BOLD WOLF i </w:t>
      </w:r>
      <w:proofErr w:type="spellStart"/>
      <w:r w:rsidR="005E5F0E" w:rsidRPr="00927915">
        <w:rPr>
          <w:rFonts w:ascii="Times New Roman" w:hAnsi="Times New Roman" w:cs="Times New Roman"/>
          <w:sz w:val="24"/>
          <w:szCs w:val="24"/>
        </w:rPr>
        <w:t>Horizon</w:t>
      </w:r>
      <w:proofErr w:type="spellEnd"/>
      <w:r w:rsidR="005E5F0E" w:rsidRPr="00927915">
        <w:rPr>
          <w:rFonts w:ascii="Times New Roman" w:hAnsi="Times New Roman" w:cs="Times New Roman"/>
          <w:sz w:val="24"/>
          <w:szCs w:val="24"/>
        </w:rPr>
        <w:t xml:space="preserve"> projekt „</w:t>
      </w:r>
      <w:r w:rsidR="00AD5040" w:rsidRPr="00927915">
        <w:rPr>
          <w:rFonts w:ascii="Times New Roman" w:hAnsi="Times New Roman" w:cs="Times New Roman"/>
          <w:sz w:val="24"/>
          <w:szCs w:val="24"/>
        </w:rPr>
        <w:t xml:space="preserve">Best </w:t>
      </w:r>
      <w:proofErr w:type="spellStart"/>
      <w:r w:rsidR="00AD5040" w:rsidRPr="00927915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="00AD5040" w:rsidRPr="0092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040" w:rsidRPr="009279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D5040" w:rsidRPr="0092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040" w:rsidRPr="00927915">
        <w:rPr>
          <w:rFonts w:ascii="Times New Roman" w:hAnsi="Times New Roman" w:cs="Times New Roman"/>
          <w:sz w:val="24"/>
          <w:szCs w:val="24"/>
        </w:rPr>
        <w:t>inovations</w:t>
      </w:r>
      <w:proofErr w:type="spellEnd"/>
      <w:r w:rsidR="00AD5040" w:rsidRPr="00927915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="00AD5040" w:rsidRPr="00927915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AD5040" w:rsidRPr="0092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040" w:rsidRPr="00927915">
        <w:rPr>
          <w:rFonts w:ascii="Times New Roman" w:hAnsi="Times New Roman" w:cs="Times New Roman"/>
          <w:sz w:val="24"/>
          <w:szCs w:val="24"/>
        </w:rPr>
        <w:t>beekeeping</w:t>
      </w:r>
      <w:proofErr w:type="spellEnd"/>
      <w:r w:rsidR="00AD5040" w:rsidRPr="0092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040" w:rsidRPr="0092791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D5040" w:rsidRPr="00927915">
        <w:rPr>
          <w:rFonts w:ascii="Times New Roman" w:hAnsi="Times New Roman" w:cs="Times New Roman"/>
          <w:sz w:val="24"/>
          <w:szCs w:val="24"/>
        </w:rPr>
        <w:t xml:space="preserve"> Europe B-THENET </w:t>
      </w:r>
      <w:proofErr w:type="spellStart"/>
      <w:r w:rsidR="00AD5040" w:rsidRPr="00927915">
        <w:rPr>
          <w:rFonts w:ascii="Times New Roman" w:hAnsi="Times New Roman" w:cs="Times New Roman"/>
          <w:sz w:val="24"/>
          <w:szCs w:val="24"/>
        </w:rPr>
        <w:t>Thematic</w:t>
      </w:r>
      <w:proofErr w:type="spellEnd"/>
      <w:r w:rsidR="00AD5040" w:rsidRPr="00927915">
        <w:rPr>
          <w:rFonts w:ascii="Times New Roman" w:hAnsi="Times New Roman" w:cs="Times New Roman"/>
          <w:sz w:val="24"/>
          <w:szCs w:val="24"/>
        </w:rPr>
        <w:t xml:space="preserve"> networ</w:t>
      </w:r>
      <w:r w:rsidR="005E5F0E" w:rsidRPr="00927915">
        <w:rPr>
          <w:rFonts w:ascii="Times New Roman" w:hAnsi="Times New Roman" w:cs="Times New Roman"/>
          <w:sz w:val="24"/>
          <w:szCs w:val="24"/>
        </w:rPr>
        <w:t>k“. Tematska mreža B-THENET provodi pristup s više partnera za modernizaciju pčelarskog sekto</w:t>
      </w:r>
      <w:r w:rsidR="00BE2B24" w:rsidRPr="00927915">
        <w:rPr>
          <w:rFonts w:ascii="Times New Roman" w:hAnsi="Times New Roman" w:cs="Times New Roman"/>
          <w:sz w:val="24"/>
          <w:szCs w:val="24"/>
        </w:rPr>
        <w:t xml:space="preserve">ra u EU-u, razmjenjujući znanje </w:t>
      </w:r>
      <w:r w:rsidR="005E5F0E" w:rsidRPr="00927915">
        <w:rPr>
          <w:rFonts w:ascii="Times New Roman" w:hAnsi="Times New Roman" w:cs="Times New Roman"/>
          <w:sz w:val="24"/>
          <w:szCs w:val="24"/>
        </w:rPr>
        <w:t>koje je spremno za primjenu u praksi, istovremeno potičući inovacije i digitalizaciju. Pčelari će se pomaknuti prema ekonomski održivijem i održivijem pčelarstvu kroz razmjenu znanja i obuku korisnih i primjenjivih najboljih praksi</w:t>
      </w:r>
      <w:r w:rsidR="00BE2B24" w:rsidRPr="00927915">
        <w:rPr>
          <w:rFonts w:ascii="Times New Roman" w:hAnsi="Times New Roman" w:cs="Times New Roman"/>
          <w:sz w:val="24"/>
          <w:szCs w:val="24"/>
        </w:rPr>
        <w:t>.</w:t>
      </w:r>
    </w:p>
    <w:p w:rsidR="00E07A85" w:rsidRPr="00927915" w:rsidRDefault="00E07A85" w:rsidP="00BE2B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C4C" w:rsidRPr="00927915" w:rsidRDefault="00D01C4C" w:rsidP="00D01C4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 xml:space="preserve">K679116 Fond solidarnosti EU </w:t>
      </w:r>
      <w:r w:rsidR="006E1C6B" w:rsidRPr="00927915">
        <w:rPr>
          <w:rFonts w:ascii="Times New Roman" w:hAnsi="Times New Roman" w:cs="Times New Roman"/>
          <w:sz w:val="24"/>
          <w:szCs w:val="24"/>
        </w:rPr>
        <w:t>–</w:t>
      </w:r>
      <w:r w:rsidRPr="00927915">
        <w:rPr>
          <w:rFonts w:ascii="Times New Roman" w:hAnsi="Times New Roman" w:cs="Times New Roman"/>
          <w:sz w:val="24"/>
          <w:szCs w:val="24"/>
        </w:rPr>
        <w:t xml:space="preserve"> potres</w:t>
      </w:r>
      <w:r w:rsidR="00E07A85">
        <w:rPr>
          <w:rFonts w:ascii="Times New Roman" w:hAnsi="Times New Roman" w:cs="Times New Roman"/>
          <w:sz w:val="24"/>
          <w:szCs w:val="24"/>
        </w:rPr>
        <w:t xml:space="preserve"> – izvor </w:t>
      </w:r>
      <w:r w:rsidR="006E1C6B" w:rsidRPr="00927915">
        <w:rPr>
          <w:rFonts w:ascii="Times New Roman" w:hAnsi="Times New Roman" w:cs="Times New Roman"/>
          <w:sz w:val="24"/>
          <w:szCs w:val="24"/>
        </w:rPr>
        <w:t>576</w:t>
      </w:r>
    </w:p>
    <w:p w:rsidR="00D65945" w:rsidRPr="00927915" w:rsidRDefault="00D65945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C4C" w:rsidRPr="00927915" w:rsidRDefault="00D01C4C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Zbog nastalih oštećenja na zgradama Fakulteta izazvanih potresom, a sukladno ugovorenim obvezama iz Ugovora o dodjeli bespovratnih financijskih sredstava za operacije koje se financiraju iz Fonda solidarnosti Europske unije za operaciju</w:t>
      </w:r>
      <w:r w:rsidRPr="00927915">
        <w:t xml:space="preserve"> </w:t>
      </w:r>
      <w:r w:rsidRPr="00927915">
        <w:rPr>
          <w:rFonts w:ascii="Times New Roman" w:hAnsi="Times New Roman" w:cs="Times New Roman"/>
          <w:sz w:val="24"/>
          <w:szCs w:val="24"/>
        </w:rPr>
        <w:t>Obnova zgrada Veterinarskog fakulteta potpisanih s Ministarstvom znanosti i obrazovanja u 2023. godi</w:t>
      </w:r>
      <w:r w:rsidR="008F5194">
        <w:rPr>
          <w:rFonts w:ascii="Times New Roman" w:hAnsi="Times New Roman" w:cs="Times New Roman"/>
          <w:sz w:val="24"/>
          <w:szCs w:val="24"/>
        </w:rPr>
        <w:t>ni planirano je 527.196</w:t>
      </w:r>
      <w:r w:rsidR="007D0622">
        <w:rPr>
          <w:rFonts w:ascii="Times New Roman" w:hAnsi="Times New Roman" w:cs="Times New Roman"/>
          <w:sz w:val="24"/>
          <w:szCs w:val="24"/>
        </w:rPr>
        <w:t xml:space="preserve"> eura</w:t>
      </w:r>
      <w:r w:rsidRPr="00927915">
        <w:rPr>
          <w:rFonts w:ascii="Times New Roman" w:hAnsi="Times New Roman" w:cs="Times New Roman"/>
          <w:sz w:val="24"/>
          <w:szCs w:val="24"/>
        </w:rPr>
        <w:t>.</w:t>
      </w:r>
      <w:r w:rsidR="00456AD9">
        <w:rPr>
          <w:rFonts w:ascii="Times New Roman" w:hAnsi="Times New Roman" w:cs="Times New Roman"/>
          <w:sz w:val="24"/>
          <w:szCs w:val="24"/>
        </w:rPr>
        <w:t xml:space="preserve"> U 2023. godini proveden je ponovljeni postupak javne nabave za izvođenje radova potrebnih za cjelovitu obnovu od potresa zgrada Veterinarskog fakultet, budući da postoji značajna diskrepancija između procijenjene nabave i vrijednosti zaprimljenih ponuda, zatražena je suglasnost za sklapanje ugovora o javnoj nabavi radovi od MZO.</w:t>
      </w:r>
    </w:p>
    <w:p w:rsidR="004E02C5" w:rsidRPr="00927915" w:rsidRDefault="004E02C5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64D" w:rsidRPr="00927915" w:rsidRDefault="00CB764D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64D" w:rsidRPr="00927915" w:rsidRDefault="00CB764D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D81" w:rsidRPr="00927915" w:rsidRDefault="00227D81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D81" w:rsidRPr="00927915" w:rsidRDefault="00227D81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7D81" w:rsidRPr="009279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CB" w:rsidRDefault="00652BCB">
      <w:pPr>
        <w:spacing w:after="0" w:line="240" w:lineRule="auto"/>
      </w:pPr>
      <w:r>
        <w:separator/>
      </w:r>
    </w:p>
  </w:endnote>
  <w:endnote w:type="continuationSeparator" w:id="0">
    <w:p w:rsidR="00652BCB" w:rsidRDefault="0065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F1F">
          <w:rPr>
            <w:noProof/>
          </w:rPr>
          <w:t>9</w:t>
        </w:r>
        <w:r>
          <w:fldChar w:fldCharType="end"/>
        </w:r>
      </w:p>
    </w:sdtContent>
  </w:sdt>
  <w:p w:rsidR="009D005B" w:rsidRDefault="00652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CB" w:rsidRDefault="00652BCB">
      <w:pPr>
        <w:spacing w:after="0" w:line="240" w:lineRule="auto"/>
      </w:pPr>
      <w:r>
        <w:separator/>
      </w:r>
    </w:p>
  </w:footnote>
  <w:footnote w:type="continuationSeparator" w:id="0">
    <w:p w:rsidR="00652BCB" w:rsidRDefault="00652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089B"/>
    <w:multiLevelType w:val="multilevel"/>
    <w:tmpl w:val="CC8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1DDE"/>
    <w:multiLevelType w:val="multilevel"/>
    <w:tmpl w:val="6E2288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8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  <w:color w:val="auto"/>
      </w:rPr>
    </w:lvl>
  </w:abstractNum>
  <w:abstractNum w:abstractNumId="4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91057"/>
    <w:multiLevelType w:val="multilevel"/>
    <w:tmpl w:val="1EFAE27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D07699A"/>
    <w:multiLevelType w:val="multilevel"/>
    <w:tmpl w:val="2776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A2332"/>
    <w:multiLevelType w:val="hybridMultilevel"/>
    <w:tmpl w:val="193EB5D4"/>
    <w:lvl w:ilvl="0" w:tplc="F91E9608">
      <w:start w:val="437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D316F"/>
    <w:multiLevelType w:val="hybridMultilevel"/>
    <w:tmpl w:val="72A45B9E"/>
    <w:lvl w:ilvl="0" w:tplc="27F67A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B1433"/>
    <w:multiLevelType w:val="hybridMultilevel"/>
    <w:tmpl w:val="6D34F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07B80"/>
    <w:multiLevelType w:val="hybridMultilevel"/>
    <w:tmpl w:val="9ABCCCB2"/>
    <w:lvl w:ilvl="0" w:tplc="27F67A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4153C"/>
    <w:multiLevelType w:val="hybridMultilevel"/>
    <w:tmpl w:val="8CDC42D0"/>
    <w:lvl w:ilvl="0" w:tplc="27F67A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13"/>
  </w:num>
  <w:num w:numId="12">
    <w:abstractNumId w:val="8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05996"/>
    <w:rsid w:val="0001148C"/>
    <w:rsid w:val="00034BEC"/>
    <w:rsid w:val="00034DE4"/>
    <w:rsid w:val="00060D38"/>
    <w:rsid w:val="000728A4"/>
    <w:rsid w:val="000743BC"/>
    <w:rsid w:val="00086D29"/>
    <w:rsid w:val="000A2723"/>
    <w:rsid w:val="000A411C"/>
    <w:rsid w:val="000B3347"/>
    <w:rsid w:val="000E210A"/>
    <w:rsid w:val="000E33E8"/>
    <w:rsid w:val="000F275B"/>
    <w:rsid w:val="000F57D1"/>
    <w:rsid w:val="00104B1E"/>
    <w:rsid w:val="0013666D"/>
    <w:rsid w:val="00146480"/>
    <w:rsid w:val="00155697"/>
    <w:rsid w:val="00191DDC"/>
    <w:rsid w:val="001B0F7A"/>
    <w:rsid w:val="001C0B26"/>
    <w:rsid w:val="001D06D0"/>
    <w:rsid w:val="001D0A31"/>
    <w:rsid w:val="001D145E"/>
    <w:rsid w:val="001E4153"/>
    <w:rsid w:val="001F5E65"/>
    <w:rsid w:val="00207F92"/>
    <w:rsid w:val="00210AA8"/>
    <w:rsid w:val="002140F9"/>
    <w:rsid w:val="00216247"/>
    <w:rsid w:val="00220BF7"/>
    <w:rsid w:val="00227D81"/>
    <w:rsid w:val="00236ADC"/>
    <w:rsid w:val="002523A7"/>
    <w:rsid w:val="00252AB1"/>
    <w:rsid w:val="00256D2E"/>
    <w:rsid w:val="00257BDE"/>
    <w:rsid w:val="002A763C"/>
    <w:rsid w:val="002B2F91"/>
    <w:rsid w:val="002B49F1"/>
    <w:rsid w:val="002B719D"/>
    <w:rsid w:val="002C026D"/>
    <w:rsid w:val="002C2F62"/>
    <w:rsid w:val="002C7121"/>
    <w:rsid w:val="002D26CA"/>
    <w:rsid w:val="002D444E"/>
    <w:rsid w:val="002E0CFD"/>
    <w:rsid w:val="00306178"/>
    <w:rsid w:val="003239CD"/>
    <w:rsid w:val="00324025"/>
    <w:rsid w:val="00324046"/>
    <w:rsid w:val="0036322E"/>
    <w:rsid w:val="003733DE"/>
    <w:rsid w:val="00376DA2"/>
    <w:rsid w:val="003A382A"/>
    <w:rsid w:val="003A6FFF"/>
    <w:rsid w:val="003B2CF0"/>
    <w:rsid w:val="003C2B28"/>
    <w:rsid w:val="003E4D8A"/>
    <w:rsid w:val="003F577B"/>
    <w:rsid w:val="00416D71"/>
    <w:rsid w:val="0043174F"/>
    <w:rsid w:val="00456AD9"/>
    <w:rsid w:val="00494E91"/>
    <w:rsid w:val="004A6661"/>
    <w:rsid w:val="004B1287"/>
    <w:rsid w:val="004B1F92"/>
    <w:rsid w:val="004B3B9C"/>
    <w:rsid w:val="004C3A59"/>
    <w:rsid w:val="004D4DE0"/>
    <w:rsid w:val="004E02C5"/>
    <w:rsid w:val="005012ED"/>
    <w:rsid w:val="00503806"/>
    <w:rsid w:val="00505735"/>
    <w:rsid w:val="00505B77"/>
    <w:rsid w:val="00515A65"/>
    <w:rsid w:val="00547387"/>
    <w:rsid w:val="0056544E"/>
    <w:rsid w:val="005713AE"/>
    <w:rsid w:val="00585281"/>
    <w:rsid w:val="005A4818"/>
    <w:rsid w:val="005C60BD"/>
    <w:rsid w:val="005D34C0"/>
    <w:rsid w:val="005D7870"/>
    <w:rsid w:val="005E2941"/>
    <w:rsid w:val="005E5F0E"/>
    <w:rsid w:val="005F108C"/>
    <w:rsid w:val="00611828"/>
    <w:rsid w:val="00611BEE"/>
    <w:rsid w:val="00652BCB"/>
    <w:rsid w:val="00667D4D"/>
    <w:rsid w:val="00670BCB"/>
    <w:rsid w:val="00672595"/>
    <w:rsid w:val="00684381"/>
    <w:rsid w:val="00692231"/>
    <w:rsid w:val="006929ED"/>
    <w:rsid w:val="00693DEF"/>
    <w:rsid w:val="00694D86"/>
    <w:rsid w:val="00697B21"/>
    <w:rsid w:val="006C1E2F"/>
    <w:rsid w:val="006E1C6B"/>
    <w:rsid w:val="006E5631"/>
    <w:rsid w:val="00703212"/>
    <w:rsid w:val="0071021E"/>
    <w:rsid w:val="00714374"/>
    <w:rsid w:val="00721F13"/>
    <w:rsid w:val="007258E1"/>
    <w:rsid w:val="00734E84"/>
    <w:rsid w:val="0074262F"/>
    <w:rsid w:val="00744EE4"/>
    <w:rsid w:val="00756797"/>
    <w:rsid w:val="0077114F"/>
    <w:rsid w:val="00781FDB"/>
    <w:rsid w:val="00791550"/>
    <w:rsid w:val="007A7163"/>
    <w:rsid w:val="007B4B33"/>
    <w:rsid w:val="007B4DF3"/>
    <w:rsid w:val="007B5D4C"/>
    <w:rsid w:val="007C3B9A"/>
    <w:rsid w:val="007D0622"/>
    <w:rsid w:val="007E330A"/>
    <w:rsid w:val="007E5A56"/>
    <w:rsid w:val="007F7FE3"/>
    <w:rsid w:val="00812C27"/>
    <w:rsid w:val="008223B8"/>
    <w:rsid w:val="00833357"/>
    <w:rsid w:val="00835788"/>
    <w:rsid w:val="008440B8"/>
    <w:rsid w:val="00846CD9"/>
    <w:rsid w:val="00846E65"/>
    <w:rsid w:val="008634F0"/>
    <w:rsid w:val="008750BD"/>
    <w:rsid w:val="00883635"/>
    <w:rsid w:val="008860EE"/>
    <w:rsid w:val="0089595A"/>
    <w:rsid w:val="008B169F"/>
    <w:rsid w:val="008E0E0E"/>
    <w:rsid w:val="008E18D5"/>
    <w:rsid w:val="008F5194"/>
    <w:rsid w:val="009024AF"/>
    <w:rsid w:val="009076ED"/>
    <w:rsid w:val="00910569"/>
    <w:rsid w:val="00927915"/>
    <w:rsid w:val="00932111"/>
    <w:rsid w:val="009337A4"/>
    <w:rsid w:val="00974724"/>
    <w:rsid w:val="00984066"/>
    <w:rsid w:val="0099165F"/>
    <w:rsid w:val="00993503"/>
    <w:rsid w:val="00993533"/>
    <w:rsid w:val="009A65A8"/>
    <w:rsid w:val="009A7DB7"/>
    <w:rsid w:val="009B0AAB"/>
    <w:rsid w:val="009B3823"/>
    <w:rsid w:val="009C4FFB"/>
    <w:rsid w:val="009E2203"/>
    <w:rsid w:val="00A02624"/>
    <w:rsid w:val="00A124F7"/>
    <w:rsid w:val="00A13D75"/>
    <w:rsid w:val="00A14740"/>
    <w:rsid w:val="00A343DB"/>
    <w:rsid w:val="00A37531"/>
    <w:rsid w:val="00A37DB0"/>
    <w:rsid w:val="00A473F1"/>
    <w:rsid w:val="00A4793A"/>
    <w:rsid w:val="00A507C7"/>
    <w:rsid w:val="00A7360C"/>
    <w:rsid w:val="00AB67B2"/>
    <w:rsid w:val="00AC70B6"/>
    <w:rsid w:val="00AD0E58"/>
    <w:rsid w:val="00AD5040"/>
    <w:rsid w:val="00AE4A52"/>
    <w:rsid w:val="00AF26F1"/>
    <w:rsid w:val="00B0717A"/>
    <w:rsid w:val="00B16C4C"/>
    <w:rsid w:val="00B50859"/>
    <w:rsid w:val="00B7386C"/>
    <w:rsid w:val="00B7598C"/>
    <w:rsid w:val="00B9510F"/>
    <w:rsid w:val="00BA257F"/>
    <w:rsid w:val="00BB4213"/>
    <w:rsid w:val="00BB47B9"/>
    <w:rsid w:val="00BD7FDD"/>
    <w:rsid w:val="00BE2B24"/>
    <w:rsid w:val="00BE741E"/>
    <w:rsid w:val="00C1605D"/>
    <w:rsid w:val="00C233D6"/>
    <w:rsid w:val="00C3650F"/>
    <w:rsid w:val="00C574D6"/>
    <w:rsid w:val="00C62EA1"/>
    <w:rsid w:val="00C7178B"/>
    <w:rsid w:val="00C774EF"/>
    <w:rsid w:val="00C84559"/>
    <w:rsid w:val="00CA622B"/>
    <w:rsid w:val="00CA692D"/>
    <w:rsid w:val="00CB764D"/>
    <w:rsid w:val="00CC29D5"/>
    <w:rsid w:val="00CE00D8"/>
    <w:rsid w:val="00D01C4C"/>
    <w:rsid w:val="00D04A95"/>
    <w:rsid w:val="00D3423E"/>
    <w:rsid w:val="00D65945"/>
    <w:rsid w:val="00DA7AFE"/>
    <w:rsid w:val="00DB0C88"/>
    <w:rsid w:val="00DB5F01"/>
    <w:rsid w:val="00DD08AF"/>
    <w:rsid w:val="00DD282C"/>
    <w:rsid w:val="00DD505B"/>
    <w:rsid w:val="00DE0701"/>
    <w:rsid w:val="00DE44E2"/>
    <w:rsid w:val="00DF6FAA"/>
    <w:rsid w:val="00E03BD2"/>
    <w:rsid w:val="00E05B91"/>
    <w:rsid w:val="00E07A85"/>
    <w:rsid w:val="00E221CC"/>
    <w:rsid w:val="00E27FCF"/>
    <w:rsid w:val="00E407C7"/>
    <w:rsid w:val="00E6705C"/>
    <w:rsid w:val="00E743B7"/>
    <w:rsid w:val="00E7596F"/>
    <w:rsid w:val="00E81258"/>
    <w:rsid w:val="00EA00A6"/>
    <w:rsid w:val="00EA2F78"/>
    <w:rsid w:val="00EB1DF2"/>
    <w:rsid w:val="00ED704E"/>
    <w:rsid w:val="00EF033D"/>
    <w:rsid w:val="00EF05CF"/>
    <w:rsid w:val="00F00F1F"/>
    <w:rsid w:val="00F04095"/>
    <w:rsid w:val="00F12286"/>
    <w:rsid w:val="00F27AA2"/>
    <w:rsid w:val="00F36BCB"/>
    <w:rsid w:val="00F44C92"/>
    <w:rsid w:val="00F522E3"/>
    <w:rsid w:val="00F5442F"/>
    <w:rsid w:val="00F54913"/>
    <w:rsid w:val="00F75ACE"/>
    <w:rsid w:val="00F815A6"/>
    <w:rsid w:val="00F86A9C"/>
    <w:rsid w:val="00F930F9"/>
    <w:rsid w:val="00F97DCD"/>
    <w:rsid w:val="00FA2C77"/>
    <w:rsid w:val="00FB7FC7"/>
    <w:rsid w:val="00FE1D3A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DB01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9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2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-staro.vef.unizg.hr/opce/dok/z_o_znanstvenoj_djelatnosti_123_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9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Windows User</cp:lastModifiedBy>
  <cp:revision>33</cp:revision>
  <cp:lastPrinted>2024-03-28T09:32:00Z</cp:lastPrinted>
  <dcterms:created xsi:type="dcterms:W3CDTF">2024-03-27T20:12:00Z</dcterms:created>
  <dcterms:modified xsi:type="dcterms:W3CDTF">2024-03-28T13:08:00Z</dcterms:modified>
</cp:coreProperties>
</file>