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0F800" w14:textId="77777777" w:rsidR="006E5F48" w:rsidRDefault="00512A0B" w:rsidP="00CA622B">
      <w:pPr>
        <w:spacing w:line="360" w:lineRule="auto"/>
        <w:rPr>
          <w:rFonts w:ascii="Times New Roman" w:hAnsi="Times New Roman" w:cs="Times New Roman"/>
          <w:b/>
          <w:bCs/>
          <w:sz w:val="24"/>
          <w:szCs w:val="24"/>
        </w:rPr>
      </w:pPr>
      <w:r w:rsidRPr="006E5F48">
        <w:rPr>
          <w:rFonts w:ascii="Times New Roman" w:hAnsi="Times New Roman" w:cs="Times New Roman"/>
          <w:b/>
          <w:bCs/>
          <w:sz w:val="24"/>
          <w:szCs w:val="24"/>
        </w:rPr>
        <w:t>O</w:t>
      </w:r>
      <w:r w:rsidR="00EF05CF" w:rsidRPr="006E5F48">
        <w:rPr>
          <w:rFonts w:ascii="Times New Roman" w:hAnsi="Times New Roman" w:cs="Times New Roman"/>
          <w:b/>
          <w:bCs/>
          <w:sz w:val="24"/>
          <w:szCs w:val="24"/>
        </w:rPr>
        <w:t xml:space="preserve">brazloženja </w:t>
      </w:r>
      <w:r w:rsidR="009A7DB7" w:rsidRPr="006E5F48">
        <w:rPr>
          <w:rFonts w:ascii="Times New Roman" w:hAnsi="Times New Roman" w:cs="Times New Roman"/>
          <w:b/>
          <w:bCs/>
          <w:sz w:val="24"/>
          <w:szCs w:val="24"/>
        </w:rPr>
        <w:t xml:space="preserve">Posebnog dijela </w:t>
      </w:r>
      <w:r w:rsidR="00EF05CF" w:rsidRPr="006E5F48">
        <w:rPr>
          <w:rFonts w:ascii="Times New Roman" w:hAnsi="Times New Roman" w:cs="Times New Roman"/>
          <w:b/>
          <w:bCs/>
          <w:sz w:val="24"/>
          <w:szCs w:val="24"/>
        </w:rPr>
        <w:t>financijskog plana</w:t>
      </w:r>
      <w:r w:rsidR="003A6FFF" w:rsidRPr="006E5F48">
        <w:rPr>
          <w:rFonts w:ascii="Times New Roman" w:hAnsi="Times New Roman" w:cs="Times New Roman"/>
          <w:b/>
          <w:bCs/>
          <w:sz w:val="24"/>
          <w:szCs w:val="24"/>
        </w:rPr>
        <w:t xml:space="preserve"> </w:t>
      </w:r>
      <w:r w:rsidR="002328B0" w:rsidRPr="006E5F48">
        <w:rPr>
          <w:rFonts w:ascii="Times New Roman" w:hAnsi="Times New Roman" w:cs="Times New Roman"/>
          <w:b/>
          <w:bCs/>
          <w:sz w:val="24"/>
          <w:szCs w:val="24"/>
        </w:rPr>
        <w:t>202</w:t>
      </w:r>
      <w:r w:rsidR="00A07494" w:rsidRPr="006E5F48">
        <w:rPr>
          <w:rFonts w:ascii="Times New Roman" w:hAnsi="Times New Roman" w:cs="Times New Roman"/>
          <w:b/>
          <w:bCs/>
          <w:sz w:val="24"/>
          <w:szCs w:val="24"/>
        </w:rPr>
        <w:t>5</w:t>
      </w:r>
      <w:r w:rsidR="002328B0" w:rsidRPr="006E5F48">
        <w:rPr>
          <w:rFonts w:ascii="Times New Roman" w:hAnsi="Times New Roman" w:cs="Times New Roman"/>
          <w:b/>
          <w:bCs/>
          <w:sz w:val="24"/>
          <w:szCs w:val="24"/>
        </w:rPr>
        <w:t>. – 202</w:t>
      </w:r>
      <w:r w:rsidR="00A07494" w:rsidRPr="006E5F48">
        <w:rPr>
          <w:rFonts w:ascii="Times New Roman" w:hAnsi="Times New Roman" w:cs="Times New Roman"/>
          <w:b/>
          <w:bCs/>
          <w:sz w:val="24"/>
          <w:szCs w:val="24"/>
        </w:rPr>
        <w:t>7</w:t>
      </w:r>
      <w:r w:rsidR="009A7DB7" w:rsidRPr="006E5F48">
        <w:rPr>
          <w:rFonts w:ascii="Times New Roman" w:hAnsi="Times New Roman" w:cs="Times New Roman"/>
          <w:b/>
          <w:bCs/>
          <w:sz w:val="24"/>
          <w:szCs w:val="24"/>
        </w:rPr>
        <w:t xml:space="preserve">. </w:t>
      </w:r>
    </w:p>
    <w:p w14:paraId="56109238" w14:textId="273C06E3" w:rsidR="00EF05CF" w:rsidRPr="006E5F48" w:rsidRDefault="00CE00D8" w:rsidP="00CA622B">
      <w:pPr>
        <w:spacing w:line="360" w:lineRule="auto"/>
        <w:rPr>
          <w:rFonts w:ascii="Times New Roman" w:hAnsi="Times New Roman" w:cs="Times New Roman"/>
          <w:b/>
          <w:bCs/>
          <w:sz w:val="24"/>
          <w:szCs w:val="24"/>
        </w:rPr>
      </w:pPr>
      <w:r w:rsidRPr="00927915">
        <w:rPr>
          <w:rFonts w:ascii="Times New Roman" w:hAnsi="Times New Roman" w:cs="Times New Roman"/>
          <w:sz w:val="24"/>
          <w:szCs w:val="24"/>
        </w:rPr>
        <w:t>SVEUČILIŠTE U ZAGREBU VETERINARSKI FAKULTET</w:t>
      </w:r>
    </w:p>
    <w:p w14:paraId="54C6652E" w14:textId="77777777" w:rsidR="00EF05CF" w:rsidRPr="00927915" w:rsidRDefault="00EF05CF" w:rsidP="00CA622B">
      <w:pPr>
        <w:pBdr>
          <w:top w:val="dotted" w:sz="4" w:space="1" w:color="808080" w:themeColor="background1" w:themeShade="80"/>
          <w:bottom w:val="dotted" w:sz="4" w:space="1" w:color="808080" w:themeColor="background1" w:themeShade="80"/>
        </w:pBdr>
        <w:shd w:val="clear" w:color="auto" w:fill="D0CECE" w:themeFill="background2" w:themeFillShade="E6"/>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Sažetak djelokruga rada proračunskog korisnika</w:t>
      </w:r>
    </w:p>
    <w:p w14:paraId="5A2472B2" w14:textId="77777777" w:rsidR="00191DDC" w:rsidRDefault="00191DDC" w:rsidP="00CA622B">
      <w:pPr>
        <w:spacing w:line="360" w:lineRule="auto"/>
        <w:jc w:val="both"/>
        <w:rPr>
          <w:rFonts w:ascii="Times New Roman" w:hAnsi="Times New Roman" w:cs="Times New Roman"/>
          <w:sz w:val="24"/>
          <w:szCs w:val="24"/>
          <w:lang w:val="pl-PL"/>
        </w:rPr>
      </w:pPr>
      <w:r w:rsidRPr="00927915">
        <w:rPr>
          <w:rFonts w:ascii="Times New Roman" w:hAnsi="Times New Roman" w:cs="Times New Roman"/>
          <w:sz w:val="24"/>
          <w:szCs w:val="24"/>
          <w:lang w:val="pl-PL"/>
        </w:rPr>
        <w:t xml:space="preserve">Veterinarski fakultet Sveučilišta u Zagrebu javno je visoko učilište koje ustrojava i izvodi sveučilišne studije te provodi znanstveni i visokostručni rad u području biomedicine i zdravstva, polju veterinarske medicine te ostalim srodnim područjima, kao i programe cjeloživotnog obrazovanja doktora veterinarske medicine. </w:t>
      </w:r>
      <w:r w:rsidR="00D14100" w:rsidRPr="00D14100">
        <w:rPr>
          <w:rFonts w:ascii="Times New Roman" w:hAnsi="Times New Roman" w:cs="Times New Roman"/>
          <w:sz w:val="24"/>
          <w:szCs w:val="24"/>
          <w:lang w:val="pl-PL"/>
        </w:rPr>
        <w:t>Sveučilišni integrirani prijediplomski i diplomski studij Veterinarska medicina na hrvatskom i engleskom jeziku organizira se i izvodi u skladu s važećim studijskim programom te zakonom koji uređuje visoko obrazovanje i znanstvenu djelatnost, propisima koji uređuju osiguravanje kvalitete u visokom obrazovanju i znanosti, Statutom te općim aktom Sveučilišta u Zagrebu koji uređuje postupak vrednovanja studijskih programa. U ak. god. 2023./2024. pravo na upis u prvu studijsku godinu stekla su 133 studenta, a sveukupno je bilo 767 studenata i 98 apsolvenata.</w:t>
      </w:r>
    </w:p>
    <w:p w14:paraId="43510077" w14:textId="77777777" w:rsidR="00D14100" w:rsidRP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U ak. god. 2023./2024. upisana je i osma generacija studenata na Integrirani prijediplomski i diplomski studij Veterinarska medicina na engleskom jeziku. Kao i prethodne godine, studij je izazvao veliki interes, s ukupno 214 upita, što je rezultiralo rekordnim brojem prijava – čak 189. To je povećanje od gotovo 55 % u odnosu na prethodnu godinu, što potvrđuje rastući trend interesa i međunarodnu prepoznatljivost ovog programa na engleskom jeziku. Od pristiglih prijava popunjena je kvota od 35 studenata. Najveći broj studenata dolazi iz Francuske (70 %), dok su preostali kandidati iz drugih zemalja EU-a, a pet kandidata izvan EU-a (UK, SAD, Japan, Izrael i Južna Afrika).</w:t>
      </w:r>
    </w:p>
    <w:p w14:paraId="158B9AFE" w14:textId="4D5F07E3" w:rsidR="00D14100" w:rsidRP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 xml:space="preserve">U prvi semestar doktorskog studija Veterinarske znanosti upisano je ukupno 15 doktoranada. Doktorat znanosti iz područja biomedicine i zdravstva, u znanstvenom polju veterinarske medicine u protekloj je akademskoj godini steklo ukupno 12 kandidata. </w:t>
      </w:r>
    </w:p>
    <w:p w14:paraId="27C5B9DF" w14:textId="77777777" w:rsidR="00D14100" w:rsidRP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U prvu je godinu upisan i 21 kandidat na četiri poslijediplomska specijalistička studija: Kirurgija, anesteziologija i oftalmologija s veterinarskom stomatologijom, Patologija i uzgoj domaćih mesoždera, Mikrobiologija i epizootiologija te Teriogenologija domaćih sisavaca. Poslijediplomski specijalistički studij završilo je 15 kandidata.</w:t>
      </w:r>
    </w:p>
    <w:p w14:paraId="6778714F" w14:textId="77777777" w:rsid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 xml:space="preserve">I ove su akademske godine, u suradnji s Hrvatskom veterinarskom komorom, organizirani tečajevi cjeloživotnog obrazovanja koji su uvjet za produljenje licencije za obavljanje veterinarske djelatnosti. Osim ovih tečajeva, provode se i tečajevi za stručno osposobljavanje </w:t>
      </w:r>
      <w:r w:rsidRPr="00D14100">
        <w:rPr>
          <w:rFonts w:ascii="Times New Roman" w:hAnsi="Times New Roman" w:cs="Times New Roman"/>
          <w:sz w:val="24"/>
          <w:szCs w:val="24"/>
          <w:lang w:val="pl-PL"/>
        </w:rPr>
        <w:lastRenderedPageBreak/>
        <w:t>na osnovi rješenja nadležnih institucija, kao i stalni i redoviti godišnji tečajevi. U protekloj akademskoj godini održano je ukupno sedam stalnih tečajeva cjeloživotnog učenja koje je uspješno završilo 516 polaznika. Tijekom znanstveno-stručnog kongresa Veterinarska znanost i struka, održanog početkom akademske godine, prijavljeno je 11 novih tečajeva koje je uspješno završilo oko 100 polaznika.</w:t>
      </w:r>
    </w:p>
    <w:p w14:paraId="129FC09D" w14:textId="77777777" w:rsidR="00B676ED" w:rsidRPr="00D6702C" w:rsidRDefault="00B676ED" w:rsidP="00D14100">
      <w:pPr>
        <w:spacing w:line="360" w:lineRule="auto"/>
        <w:jc w:val="both"/>
        <w:rPr>
          <w:rFonts w:ascii="Times New Roman" w:hAnsi="Times New Roman" w:cs="Times New Roman"/>
          <w:sz w:val="24"/>
          <w:szCs w:val="24"/>
          <w:lang w:val="pl-PL"/>
        </w:rPr>
      </w:pPr>
      <w:r w:rsidRPr="00D6702C">
        <w:rPr>
          <w:rFonts w:ascii="Times New Roman" w:hAnsi="Times New Roman" w:cs="Times New Roman"/>
          <w:sz w:val="24"/>
          <w:szCs w:val="24"/>
          <w:lang w:val="pl-PL"/>
        </w:rPr>
        <w:t>Međunarodna je suradnja bitan čimbenik koji jamči i unapređuje kvalitetu visokoobrazovnih programa, stoga je jedan od ciljeva Veterinarskoga fakulteta uspostavljanje i intenziviranje upravo ovog oblika suradnje s veterinarskim i drugim srodnim fakultetima i sveučilištima u inozemstvu. Radi se o visokoškolskoj i znanstvenoistraživačkoj suradnji koja se temelji na međusobno potpisanim sporazumima sa svrhom internacionalizacije obrazovanja, odnosno kvalitetnog i učinkovitog obrazovanja kadrova. Kako veterinarska medicina pripada biomedicinskim znanostima koje se posljednjih desetljeća vrlo brzo razvijaju, iznimno je važno pratiti taj razvoj i sudjelovati u njemu. Aktivnostima u međunarodnoj suradnji potičemo razmjenu studenata te nastavnog i nenastavnog osoblja koja omogućuje razmjenu znanja i iskustava, rad na zajedničkim projektima i temama s učinkovitim prijenosom rezultata istraživanja među visokoškolskim ustanovama, zajedničku organizaciju ljetnih škola i tečajeva te sve druge oblike suradnje kojima je svrha unapređenje obrazovnog programa i znanosti.</w:t>
      </w:r>
    </w:p>
    <w:p w14:paraId="15AD0381" w14:textId="77777777" w:rsidR="00D14100" w:rsidRP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 xml:space="preserve">U ak. god. 2023./2024. ukupno su 23 studenta iz 9 programskih i partnerskih Erasmus+ zemalja ostvarila tzv. SMP mobilnost u ukupnom trajanju od 56 mjeseci, najvećim dijelom u okviru Sveučilišne veterinarske bolnice. </w:t>
      </w:r>
    </w:p>
    <w:p w14:paraId="296C35BF" w14:textId="77777777" w:rsid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S obzirom broj dolaznih studenata po akademskoj godini i broj mjeseci stručne prakse u proteklih 11 godina, i dalje je vidljiv stabilan broj odobrenih dolazaka studenata što je u skladu s prosječnim vrijednostima unatrag tri akademske godine.</w:t>
      </w:r>
    </w:p>
    <w:p w14:paraId="3756979C" w14:textId="77777777" w:rsidR="00D14100" w:rsidRP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U ak. godini 2023./2024. na temelju Natječaja za mobilnost nastavnog i nenastvnog osoblja iz programskih ugovora KA 131 i KA 171 odobrene su 32 mobilnosti nastavnog i nenastavnog osoblja, prema 16 zemalja unutar i van EU-a u ukupnom trajanju od 191 dana s odobrenim mobilnostima od 5 do 12 dana.</w:t>
      </w:r>
    </w:p>
    <w:p w14:paraId="1003107E" w14:textId="77777777" w:rsid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Veterinarski fakultet Sveučilišta u Zagrebu trenutačno ima 14 aktivnih Erasmus+ bilateralnih sporazuma u svrhu studijskog boravka studenata i poučavanja nastavnog osoblja za razdoblje do 2027. godine s Veterinarskim fakultetima Sveučilišta u Beču, Beogradu, Brnu, Budimpešti, Bukureštu, Košicama, Liègeu, Ljubljani, Lyonu, Messini, Namuru, Napulju, Skopju i Wroclawu.</w:t>
      </w:r>
    </w:p>
    <w:p w14:paraId="609C7CED" w14:textId="77777777" w:rsidR="00D14100"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lastRenderedPageBreak/>
        <w:t>Prema planu utvrđenom na godišnjem sastanku CEEPUS koordinatora za Veterinarski fakultet Sveučilišta u Zagrebu ak. god. 2023./2024. predviđeno je 26 dolaznih mjeseci mobilnosti te 17 odlaznih.</w:t>
      </w:r>
    </w:p>
    <w:p w14:paraId="6E71710D" w14:textId="3BCCB658" w:rsidR="00D14100" w:rsidRPr="00214CD7" w:rsidRDefault="00D14100" w:rsidP="00D14100">
      <w:pPr>
        <w:spacing w:line="360" w:lineRule="auto"/>
        <w:jc w:val="both"/>
        <w:rPr>
          <w:rFonts w:ascii="Times New Roman" w:hAnsi="Times New Roman" w:cs="Times New Roman"/>
          <w:sz w:val="24"/>
          <w:szCs w:val="24"/>
          <w:lang w:val="pl-PL"/>
        </w:rPr>
      </w:pPr>
      <w:r w:rsidRPr="00214CD7">
        <w:rPr>
          <w:rFonts w:ascii="Times New Roman" w:hAnsi="Times New Roman" w:cs="Times New Roman"/>
          <w:sz w:val="24"/>
          <w:szCs w:val="24"/>
          <w:lang w:val="pl-PL"/>
        </w:rPr>
        <w:t>U organizaciji CEEPUS VetNEST mreže održan je i velik broj ljetnih škola u ak. god. 2023./2024.</w:t>
      </w:r>
      <w:r w:rsidR="00214CD7">
        <w:rPr>
          <w:rFonts w:ascii="Times New Roman" w:hAnsi="Times New Roman" w:cs="Times New Roman"/>
          <w:sz w:val="24"/>
          <w:szCs w:val="24"/>
          <w:lang w:val="pl-PL"/>
        </w:rPr>
        <w:t>:</w:t>
      </w:r>
      <w:r w:rsidR="00D6702C" w:rsidRPr="00214CD7">
        <w:rPr>
          <w:rFonts w:ascii="Times New Roman" w:hAnsi="Times New Roman" w:cs="Times New Roman"/>
          <w:sz w:val="24"/>
          <w:szCs w:val="24"/>
        </w:rPr>
        <w:t xml:space="preserve"> </w:t>
      </w:r>
      <w:r w:rsidR="00214CD7" w:rsidRPr="00214CD7">
        <w:rPr>
          <w:rFonts w:ascii="Times New Roman" w:hAnsi="Times New Roman" w:cs="Times New Roman"/>
          <w:sz w:val="24"/>
          <w:szCs w:val="24"/>
        </w:rPr>
        <w:t xml:space="preserve">Ljetna škola </w:t>
      </w:r>
      <w:r w:rsidR="00214CD7" w:rsidRPr="00214CD7">
        <w:rPr>
          <w:rFonts w:ascii="Times New Roman" w:hAnsi="Times New Roman" w:cs="Times New Roman"/>
          <w:i/>
          <w:iCs/>
          <w:sz w:val="24"/>
          <w:szCs w:val="24"/>
        </w:rPr>
        <w:t>Akvakultura</w:t>
      </w:r>
      <w:r w:rsidR="00214CD7" w:rsidRPr="00214CD7">
        <w:rPr>
          <w:rFonts w:ascii="Times New Roman" w:hAnsi="Times New Roman" w:cs="Times New Roman"/>
          <w:sz w:val="24"/>
          <w:szCs w:val="24"/>
        </w:rPr>
        <w:t xml:space="preserve"> </w:t>
      </w:r>
      <w:r w:rsidR="0060047B">
        <w:rPr>
          <w:rFonts w:ascii="Times New Roman" w:hAnsi="Times New Roman" w:cs="Times New Roman"/>
          <w:sz w:val="24"/>
          <w:szCs w:val="24"/>
        </w:rPr>
        <w:t>(</w:t>
      </w:r>
      <w:r w:rsidR="00214CD7" w:rsidRPr="00214CD7">
        <w:rPr>
          <w:rFonts w:ascii="Times New Roman" w:hAnsi="Times New Roman" w:cs="Times New Roman"/>
          <w:sz w:val="24"/>
          <w:szCs w:val="24"/>
        </w:rPr>
        <w:t>Stonu i okolnim ribogojilištima i u Sarajevu</w:t>
      </w:r>
      <w:r w:rsidR="0060047B">
        <w:rPr>
          <w:rFonts w:ascii="Times New Roman" w:hAnsi="Times New Roman" w:cs="Times New Roman"/>
          <w:sz w:val="24"/>
          <w:szCs w:val="24"/>
        </w:rPr>
        <w:t xml:space="preserve">), </w:t>
      </w:r>
      <w:r w:rsidR="00214CD7" w:rsidRPr="00214CD7">
        <w:rPr>
          <w:rFonts w:ascii="Times New Roman" w:hAnsi="Times New Roman" w:cs="Times New Roman"/>
          <w:sz w:val="24"/>
          <w:szCs w:val="24"/>
        </w:rPr>
        <w:t xml:space="preserve">Ljetna škola </w:t>
      </w:r>
      <w:r w:rsidR="00214CD7" w:rsidRPr="00214CD7">
        <w:rPr>
          <w:rFonts w:ascii="Times New Roman" w:hAnsi="Times New Roman" w:cs="Times New Roman"/>
          <w:i/>
          <w:iCs/>
          <w:sz w:val="24"/>
          <w:szCs w:val="24"/>
        </w:rPr>
        <w:t>Animal Welfare, Veterinary Ethics and Communication skills</w:t>
      </w:r>
      <w:r w:rsidR="0060047B">
        <w:rPr>
          <w:rFonts w:ascii="Times New Roman" w:hAnsi="Times New Roman" w:cs="Times New Roman"/>
          <w:sz w:val="24"/>
          <w:szCs w:val="24"/>
        </w:rPr>
        <w:t xml:space="preserve"> (</w:t>
      </w:r>
      <w:r w:rsidR="00214CD7" w:rsidRPr="00214CD7">
        <w:rPr>
          <w:rFonts w:ascii="Times New Roman" w:hAnsi="Times New Roman" w:cs="Times New Roman"/>
          <w:sz w:val="24"/>
          <w:szCs w:val="24"/>
        </w:rPr>
        <w:t>Beč</w:t>
      </w:r>
      <w:r w:rsidR="0060047B">
        <w:rPr>
          <w:rFonts w:ascii="Times New Roman" w:hAnsi="Times New Roman" w:cs="Times New Roman"/>
          <w:sz w:val="24"/>
          <w:szCs w:val="24"/>
        </w:rPr>
        <w:t xml:space="preserve">), dvije </w:t>
      </w:r>
      <w:r w:rsidR="00214CD7" w:rsidRPr="00214CD7">
        <w:rPr>
          <w:rFonts w:ascii="Times New Roman" w:hAnsi="Times New Roman" w:cs="Times New Roman"/>
          <w:sz w:val="24"/>
          <w:szCs w:val="24"/>
        </w:rPr>
        <w:t xml:space="preserve">ljetne škole </w:t>
      </w:r>
      <w:r w:rsidR="00214CD7" w:rsidRPr="00214CD7">
        <w:rPr>
          <w:rFonts w:ascii="Times New Roman" w:hAnsi="Times New Roman" w:cs="Times New Roman"/>
          <w:i/>
          <w:iCs/>
          <w:sz w:val="24"/>
          <w:szCs w:val="24"/>
        </w:rPr>
        <w:t>From Sperm and Oocyte to Offspring: The Journey of Canine and Feline</w:t>
      </w:r>
      <w:r w:rsidR="00214CD7" w:rsidRPr="00214CD7">
        <w:rPr>
          <w:rFonts w:ascii="Times New Roman" w:hAnsi="Times New Roman" w:cs="Times New Roman"/>
          <w:sz w:val="24"/>
          <w:szCs w:val="24"/>
        </w:rPr>
        <w:t xml:space="preserve"> </w:t>
      </w:r>
      <w:r w:rsidR="00214CD7" w:rsidRPr="00214CD7">
        <w:rPr>
          <w:rFonts w:ascii="Times New Roman" w:hAnsi="Times New Roman" w:cs="Times New Roman"/>
          <w:i/>
          <w:iCs/>
          <w:sz w:val="24"/>
          <w:szCs w:val="24"/>
        </w:rPr>
        <w:t>Reproduction</w:t>
      </w:r>
      <w:r w:rsidR="00214CD7" w:rsidRPr="00214CD7">
        <w:rPr>
          <w:rFonts w:ascii="Times New Roman" w:hAnsi="Times New Roman" w:cs="Times New Roman"/>
          <w:sz w:val="24"/>
          <w:szCs w:val="24"/>
        </w:rPr>
        <w:t xml:space="preserve"> </w:t>
      </w:r>
      <w:r w:rsidR="0060047B">
        <w:rPr>
          <w:rFonts w:ascii="Times New Roman" w:hAnsi="Times New Roman" w:cs="Times New Roman"/>
          <w:sz w:val="24"/>
          <w:szCs w:val="24"/>
        </w:rPr>
        <w:t>(Ljubljana)</w:t>
      </w:r>
      <w:r w:rsidR="00214CD7" w:rsidRPr="00214CD7">
        <w:rPr>
          <w:rFonts w:ascii="Times New Roman" w:hAnsi="Times New Roman" w:cs="Times New Roman"/>
          <w:sz w:val="24"/>
          <w:szCs w:val="24"/>
        </w:rPr>
        <w:t xml:space="preserve"> </w:t>
      </w:r>
      <w:r w:rsidR="00214CD7" w:rsidRPr="00214CD7">
        <w:rPr>
          <w:rFonts w:ascii="Times New Roman" w:hAnsi="Times New Roman" w:cs="Times New Roman"/>
          <w:i/>
          <w:iCs/>
          <w:sz w:val="24"/>
          <w:szCs w:val="24"/>
        </w:rPr>
        <w:t>International Summer School on Biosafety</w:t>
      </w:r>
      <w:r w:rsidR="0060047B">
        <w:rPr>
          <w:rFonts w:ascii="Times New Roman" w:hAnsi="Times New Roman" w:cs="Times New Roman"/>
          <w:sz w:val="24"/>
          <w:szCs w:val="24"/>
        </w:rPr>
        <w:t xml:space="preserve"> (Ljubljana), </w:t>
      </w:r>
      <w:r w:rsidR="00214CD7" w:rsidRPr="00214CD7">
        <w:rPr>
          <w:rFonts w:ascii="Times New Roman" w:hAnsi="Times New Roman" w:cs="Times New Roman"/>
          <w:sz w:val="24"/>
          <w:szCs w:val="24"/>
        </w:rPr>
        <w:t xml:space="preserve">ljetna škola </w:t>
      </w:r>
      <w:r w:rsidR="00214CD7" w:rsidRPr="00214CD7">
        <w:rPr>
          <w:rFonts w:ascii="Times New Roman" w:hAnsi="Times New Roman" w:cs="Times New Roman"/>
          <w:i/>
          <w:iCs/>
          <w:sz w:val="24"/>
          <w:szCs w:val="24"/>
        </w:rPr>
        <w:t xml:space="preserve">The 11th Summer School for Mountain Animal Breeding </w:t>
      </w:r>
      <w:r w:rsidR="0060047B">
        <w:rPr>
          <w:rFonts w:ascii="Times New Roman" w:hAnsi="Times New Roman" w:cs="Times New Roman"/>
          <w:sz w:val="24"/>
          <w:szCs w:val="24"/>
        </w:rPr>
        <w:t>(</w:t>
      </w:r>
      <w:r w:rsidR="00214CD7" w:rsidRPr="00214CD7">
        <w:rPr>
          <w:rFonts w:ascii="Times New Roman" w:hAnsi="Times New Roman" w:cs="Times New Roman"/>
          <w:sz w:val="24"/>
          <w:szCs w:val="24"/>
        </w:rPr>
        <w:t>Star</w:t>
      </w:r>
      <w:r w:rsidR="0060047B">
        <w:rPr>
          <w:rFonts w:ascii="Times New Roman" w:hAnsi="Times New Roman" w:cs="Times New Roman"/>
          <w:sz w:val="24"/>
          <w:szCs w:val="24"/>
        </w:rPr>
        <w:t>a</w:t>
      </w:r>
      <w:r w:rsidR="00214CD7" w:rsidRPr="00214CD7">
        <w:rPr>
          <w:rFonts w:ascii="Times New Roman" w:hAnsi="Times New Roman" w:cs="Times New Roman"/>
          <w:sz w:val="24"/>
          <w:szCs w:val="24"/>
        </w:rPr>
        <w:t xml:space="preserve"> Planin</w:t>
      </w:r>
      <w:r w:rsidR="0060047B">
        <w:rPr>
          <w:rFonts w:ascii="Times New Roman" w:hAnsi="Times New Roman" w:cs="Times New Roman"/>
          <w:sz w:val="24"/>
          <w:szCs w:val="24"/>
        </w:rPr>
        <w:t xml:space="preserve">a), </w:t>
      </w:r>
      <w:r w:rsidR="00214CD7" w:rsidRPr="00214CD7">
        <w:rPr>
          <w:rFonts w:ascii="Times New Roman" w:hAnsi="Times New Roman" w:cs="Times New Roman"/>
          <w:sz w:val="24"/>
          <w:szCs w:val="24"/>
        </w:rPr>
        <w:t xml:space="preserve"> Ljetna škola </w:t>
      </w:r>
      <w:r w:rsidR="00214CD7" w:rsidRPr="00214CD7">
        <w:rPr>
          <w:rFonts w:ascii="Times New Roman" w:hAnsi="Times New Roman" w:cs="Times New Roman"/>
          <w:i/>
          <w:iCs/>
          <w:sz w:val="24"/>
          <w:szCs w:val="24"/>
        </w:rPr>
        <w:t>Zoonoze</w:t>
      </w:r>
      <w:r w:rsidR="00214CD7" w:rsidRPr="00214CD7">
        <w:rPr>
          <w:rFonts w:ascii="Times New Roman" w:hAnsi="Times New Roman" w:cs="Times New Roman"/>
          <w:sz w:val="24"/>
          <w:szCs w:val="24"/>
        </w:rPr>
        <w:t xml:space="preserve"> </w:t>
      </w:r>
      <w:r w:rsidR="0060047B">
        <w:rPr>
          <w:rFonts w:ascii="Times New Roman" w:hAnsi="Times New Roman" w:cs="Times New Roman"/>
          <w:sz w:val="24"/>
          <w:szCs w:val="24"/>
        </w:rPr>
        <w:t>(</w:t>
      </w:r>
      <w:r w:rsidR="00214CD7" w:rsidRPr="00214CD7">
        <w:rPr>
          <w:rFonts w:ascii="Times New Roman" w:hAnsi="Times New Roman" w:cs="Times New Roman"/>
          <w:sz w:val="24"/>
          <w:szCs w:val="24"/>
        </w:rPr>
        <w:t>Zagreb</w:t>
      </w:r>
      <w:r w:rsidR="0060047B">
        <w:rPr>
          <w:rFonts w:ascii="Times New Roman" w:hAnsi="Times New Roman" w:cs="Times New Roman"/>
          <w:sz w:val="24"/>
          <w:szCs w:val="24"/>
        </w:rPr>
        <w:t>).</w:t>
      </w:r>
    </w:p>
    <w:p w14:paraId="110B0194" w14:textId="77777777" w:rsidR="00D14100" w:rsidRPr="00D14100" w:rsidRDefault="00D14100" w:rsidP="00D14100">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U rujnu 2024. godini c</w:t>
      </w:r>
      <w:r w:rsidRPr="00D14100">
        <w:rPr>
          <w:rFonts w:ascii="Times New Roman" w:hAnsi="Times New Roman" w:cs="Times New Roman"/>
          <w:sz w:val="24"/>
          <w:szCs w:val="24"/>
          <w:lang w:val="pl-PL"/>
        </w:rPr>
        <w:t>ertifikacijska kuća Bureau Veritas Croatia d.o.o. provela je recertifikaciju sustava upravljanja kvalitetom na Veterinarskom fakultetu Sveučilišta u Zagrebu sukladno zahtjevima međunarodne norme ISO 9001-2015 za opsege certifikacije „Usluge u visokoškolskom obrazovanju, znanstvenoistraživačkom, laboratorijsko-dijagnostičkom i stručno-kliničkom radu.“</w:t>
      </w:r>
      <w:r>
        <w:rPr>
          <w:rFonts w:ascii="Times New Roman" w:hAnsi="Times New Roman" w:cs="Times New Roman"/>
          <w:sz w:val="24"/>
          <w:szCs w:val="24"/>
          <w:lang w:val="pl-PL"/>
        </w:rPr>
        <w:t xml:space="preserve">. </w:t>
      </w:r>
      <w:r w:rsidRPr="00D14100">
        <w:rPr>
          <w:rFonts w:ascii="Times New Roman" w:hAnsi="Times New Roman" w:cs="Times New Roman"/>
          <w:sz w:val="24"/>
          <w:szCs w:val="24"/>
          <w:lang w:val="pl-PL"/>
        </w:rPr>
        <w:t>Nakon provedene recertifikacije Veterinarski fakultet i dalje je nositelj certifikata ISO 9001:2015.</w:t>
      </w:r>
    </w:p>
    <w:p w14:paraId="634C706B" w14:textId="77777777" w:rsidR="00D14100" w:rsidRPr="00927915" w:rsidRDefault="00D14100" w:rsidP="00D14100">
      <w:pPr>
        <w:spacing w:line="360" w:lineRule="auto"/>
        <w:jc w:val="both"/>
        <w:rPr>
          <w:rFonts w:ascii="Times New Roman" w:hAnsi="Times New Roman" w:cs="Times New Roman"/>
          <w:sz w:val="24"/>
          <w:szCs w:val="24"/>
          <w:lang w:val="pl-PL"/>
        </w:rPr>
      </w:pPr>
      <w:r w:rsidRPr="00D14100">
        <w:rPr>
          <w:rFonts w:ascii="Times New Roman" w:hAnsi="Times New Roman" w:cs="Times New Roman"/>
          <w:sz w:val="24"/>
          <w:szCs w:val="24"/>
          <w:lang w:val="pl-PL"/>
        </w:rPr>
        <w:t>Proveden je i nadzorni audit prema zahtjevima norme HRN EN ISO/IEC 17025:2017 te je utvrđena potpuna usklađenost sa zahtjevima norme za Laboratoriji za bolesti pčela zavoda za biologiju i patologiju riba i pčela (APISlab), Laboratorij za virusni arteritis konja Zavoda za mikrobiologiju i zarazne bolesti (ARTERlab), Laboratorij za klamidije Zavoda za bolesti peradi s klinikom (CHLAMlab), Laboratorij za infekcioznu anemiju kopitara Zavoda za mikronbiologiju i zarazne bolesti s klinikom (IAKlab) i Laboratorij za leptospire Zavoda za mikrobiologiju i zarazne bolesti s klinikom (LEPTOlab).</w:t>
      </w:r>
    </w:p>
    <w:p w14:paraId="20294105" w14:textId="34AFE228" w:rsidR="008F2030" w:rsidRPr="008F2030" w:rsidRDefault="008F2030" w:rsidP="008F2030">
      <w:pPr>
        <w:spacing w:line="360" w:lineRule="auto"/>
        <w:jc w:val="both"/>
        <w:rPr>
          <w:rFonts w:ascii="Times New Roman" w:hAnsi="Times New Roman" w:cs="Times New Roman"/>
          <w:sz w:val="24"/>
          <w:szCs w:val="24"/>
        </w:rPr>
      </w:pPr>
      <w:r w:rsidRPr="008F2030">
        <w:rPr>
          <w:rFonts w:ascii="Times New Roman" w:hAnsi="Times New Roman" w:cs="Times New Roman"/>
          <w:sz w:val="24"/>
          <w:szCs w:val="24"/>
        </w:rPr>
        <w:t>S ciljem osiguravanja kvalitetnog obrazovanja studentima iz Hrvatske i inozemstva, pružanja usluga pacijentima i provođenja suvremenih znanstvenih istraživanja, u sastavu Veterinarskoga fakulteta nalazi se Sveučilišna veterinarska bolnica koju čine:</w:t>
      </w:r>
      <w:r>
        <w:rPr>
          <w:rFonts w:ascii="Times New Roman" w:hAnsi="Times New Roman" w:cs="Times New Roman"/>
          <w:sz w:val="24"/>
          <w:szCs w:val="24"/>
        </w:rPr>
        <w:t xml:space="preserve"> </w:t>
      </w:r>
      <w:r w:rsidRPr="008F2030">
        <w:rPr>
          <w:rFonts w:ascii="Times New Roman" w:hAnsi="Times New Roman" w:cs="Times New Roman"/>
          <w:sz w:val="24"/>
          <w:szCs w:val="24"/>
        </w:rPr>
        <w:t>Klinika za kirurgiju, ortopediju i oftalmologiju, Klinika za unutarnje bolesti, Klinika za porodništvo i reprodukciju, Zavod za veterinarsku patologiju, Zavod za rendgenologiju, ultrazvučnu dijagnostiku i fizikalnu terapiju, Zavod za mikrobiologiju i zarazne bolesti s klinikom, Zavod za parazitologiju i invazijske bolesti s klinikom i Zavod za bolesti peradi s klinikom.</w:t>
      </w:r>
    </w:p>
    <w:p w14:paraId="38866C82" w14:textId="69B010F7" w:rsidR="00A07494" w:rsidRDefault="008F2030" w:rsidP="008F2030">
      <w:pPr>
        <w:spacing w:line="360" w:lineRule="auto"/>
        <w:jc w:val="both"/>
        <w:rPr>
          <w:rFonts w:ascii="Times New Roman" w:hAnsi="Times New Roman" w:cs="Times New Roman"/>
          <w:sz w:val="24"/>
          <w:szCs w:val="24"/>
        </w:rPr>
      </w:pPr>
      <w:r w:rsidRPr="008F2030">
        <w:rPr>
          <w:rFonts w:ascii="Times New Roman" w:hAnsi="Times New Roman" w:cs="Times New Roman"/>
          <w:sz w:val="24"/>
          <w:szCs w:val="24"/>
        </w:rPr>
        <w:t xml:space="preserve">Sve navedene klinike i zavodi smješteni su u uskom krugu fakulteta i čine neraskidivu i učinkovitu cjelinu u svakodnevnom djelovanju te pružaju skrb pacijentima različitih </w:t>
      </w:r>
      <w:r w:rsidRPr="008F2030">
        <w:rPr>
          <w:rFonts w:ascii="Times New Roman" w:hAnsi="Times New Roman" w:cs="Times New Roman"/>
          <w:sz w:val="24"/>
          <w:szCs w:val="24"/>
        </w:rPr>
        <w:lastRenderedPageBreak/>
        <w:t>životinjskih vrsta: kućnim ljubimcima, egzotičnim životinjama, konjima i farmskim životinjama.</w:t>
      </w:r>
    </w:p>
    <w:p w14:paraId="7EBEEB4E" w14:textId="7BE378B5" w:rsidR="00927915" w:rsidRPr="00927915" w:rsidRDefault="008F2030" w:rsidP="00CA622B">
      <w:pPr>
        <w:spacing w:line="360" w:lineRule="auto"/>
        <w:jc w:val="both"/>
        <w:rPr>
          <w:rFonts w:ascii="Times New Roman" w:hAnsi="Times New Roman" w:cs="Times New Roman"/>
          <w:sz w:val="24"/>
          <w:szCs w:val="24"/>
          <w:lang w:val="pl-PL"/>
        </w:rPr>
      </w:pPr>
      <w:r w:rsidRPr="008F2030">
        <w:rPr>
          <w:rFonts w:ascii="Times New Roman" w:hAnsi="Times New Roman" w:cs="Times New Roman"/>
          <w:sz w:val="24"/>
          <w:szCs w:val="24"/>
          <w:lang w:val="pl-PL"/>
        </w:rPr>
        <w:t>Uz obrazovanje i stručno-klinički rad, znanstvena istraživanja temeljna su djelatnost Veterinarskog fakulteta Sveučilišta u Zagrebu. Nastavn</w:t>
      </w:r>
      <w:r w:rsidR="000665F7">
        <w:rPr>
          <w:rFonts w:ascii="Times New Roman" w:hAnsi="Times New Roman" w:cs="Times New Roman"/>
          <w:sz w:val="24"/>
          <w:szCs w:val="24"/>
          <w:lang w:val="pl-PL"/>
        </w:rPr>
        <w:t>a</w:t>
      </w:r>
      <w:r w:rsidRPr="008F2030">
        <w:rPr>
          <w:rFonts w:ascii="Times New Roman" w:hAnsi="Times New Roman" w:cs="Times New Roman"/>
          <w:sz w:val="24"/>
          <w:szCs w:val="24"/>
          <w:lang w:val="pl-PL"/>
        </w:rPr>
        <w:t xml:space="preserve"> djelatnost provodi</w:t>
      </w:r>
      <w:r w:rsidR="000665F7">
        <w:rPr>
          <w:rFonts w:ascii="Times New Roman" w:hAnsi="Times New Roman" w:cs="Times New Roman"/>
          <w:sz w:val="24"/>
          <w:szCs w:val="24"/>
          <w:lang w:val="pl-PL"/>
        </w:rPr>
        <w:t xml:space="preserve"> se</w:t>
      </w:r>
      <w:r w:rsidRPr="008F2030">
        <w:rPr>
          <w:rFonts w:ascii="Times New Roman" w:hAnsi="Times New Roman" w:cs="Times New Roman"/>
          <w:sz w:val="24"/>
          <w:szCs w:val="24"/>
          <w:lang w:val="pl-PL"/>
        </w:rPr>
        <w:t xml:space="preserve"> na temelju najnovijih znanstvenih postignuća, a cilj je postati vodeća znanstvena ustanova u polju veterinarske medicine u nacionalnom i regionalnom okruženju. U posljednjih pet godina </w:t>
      </w:r>
      <w:r w:rsidR="000665F7">
        <w:rPr>
          <w:rFonts w:ascii="Times New Roman" w:hAnsi="Times New Roman" w:cs="Times New Roman"/>
          <w:sz w:val="24"/>
          <w:szCs w:val="24"/>
          <w:lang w:val="pl-PL"/>
        </w:rPr>
        <w:t>Veterinarski f</w:t>
      </w:r>
      <w:r w:rsidRPr="008F2030">
        <w:rPr>
          <w:rFonts w:ascii="Times New Roman" w:hAnsi="Times New Roman" w:cs="Times New Roman"/>
          <w:sz w:val="24"/>
          <w:szCs w:val="24"/>
          <w:lang w:val="pl-PL"/>
        </w:rPr>
        <w:t>akultet je postigao zamjetnu vidljivost na međunarodnoj akademskoj sceni, povećao je broj znanstvenih publikacija u međunarodnim časopisima, proveo znatan broj projekata financiranih iz međunarodnih fondova te unaprijedio doktorski studij.</w:t>
      </w:r>
    </w:p>
    <w:p w14:paraId="7D561D06" w14:textId="77777777" w:rsidR="00F815A6" w:rsidRPr="00927915" w:rsidRDefault="00846CD9" w:rsidP="00CA622B">
      <w:pPr>
        <w:pBdr>
          <w:top w:val="dotted" w:sz="4" w:space="1" w:color="808080" w:themeColor="background1" w:themeShade="80"/>
          <w:bottom w:val="dotted" w:sz="4" w:space="1" w:color="808080" w:themeColor="background1" w:themeShade="80"/>
        </w:pBdr>
        <w:shd w:val="clear" w:color="auto" w:fill="D0CECE" w:themeFill="background2" w:themeFillShade="E6"/>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A621001 Redovna djelatnost Sveučilišta u Zagrebu</w:t>
      </w:r>
    </w:p>
    <w:p w14:paraId="6BA45B99" w14:textId="77777777" w:rsidR="00F04095" w:rsidRPr="00927915" w:rsidRDefault="00846CD9" w:rsidP="00CA622B">
      <w:pPr>
        <w:spacing w:line="360" w:lineRule="auto"/>
        <w:rPr>
          <w:rFonts w:ascii="Times New Roman" w:hAnsi="Times New Roman" w:cs="Times New Roman"/>
          <w:sz w:val="24"/>
          <w:szCs w:val="24"/>
          <w:lang w:val="pl-PL"/>
        </w:rPr>
      </w:pPr>
      <w:r w:rsidRPr="00927915">
        <w:rPr>
          <w:rFonts w:ascii="Times New Roman" w:hAnsi="Times New Roman" w:cs="Times New Roman"/>
          <w:sz w:val="24"/>
          <w:szCs w:val="24"/>
          <w:lang w:val="pl-PL"/>
        </w:rPr>
        <w:t>Zakonske i druge pravne osnove</w:t>
      </w:r>
    </w:p>
    <w:p w14:paraId="1B5AF67E" w14:textId="77777777" w:rsidR="00494E91" w:rsidRPr="00927915" w:rsidRDefault="00494E91" w:rsidP="00351CDA">
      <w:pPr>
        <w:numPr>
          <w:ilvl w:val="0"/>
          <w:numId w:val="7"/>
        </w:numPr>
        <w:spacing w:before="100" w:beforeAutospacing="1" w:after="100" w:afterAutospacing="1" w:line="360" w:lineRule="auto"/>
        <w:rPr>
          <w:rFonts w:ascii="Times New Roman" w:hAnsi="Times New Roman" w:cs="Times New Roman"/>
          <w:color w:val="000000"/>
          <w:sz w:val="24"/>
          <w:szCs w:val="24"/>
        </w:rPr>
      </w:pPr>
      <w:hyperlink r:id="rId7" w:tgtFrame="_blank" w:history="1">
        <w:r w:rsidRPr="00927915">
          <w:rPr>
            <w:rFonts w:ascii="Times New Roman" w:hAnsi="Times New Roman" w:cs="Times New Roman"/>
            <w:color w:val="000000"/>
            <w:sz w:val="24"/>
            <w:szCs w:val="24"/>
          </w:rPr>
          <w:t>Zakon</w:t>
        </w:r>
      </w:hyperlink>
      <w:r w:rsidRPr="00927915">
        <w:rPr>
          <w:rFonts w:ascii="Times New Roman" w:hAnsi="Times New Roman" w:cs="Times New Roman"/>
          <w:color w:val="000000"/>
          <w:sz w:val="24"/>
          <w:szCs w:val="24"/>
        </w:rPr>
        <w:t xml:space="preserve"> o znanstvenoj djelatnosti i visokom obrazovanju</w:t>
      </w:r>
    </w:p>
    <w:p w14:paraId="0BAF07A2" w14:textId="77777777" w:rsidR="00494E91" w:rsidRPr="00927915" w:rsidRDefault="00494E91" w:rsidP="00494E91">
      <w:pPr>
        <w:numPr>
          <w:ilvl w:val="0"/>
          <w:numId w:val="7"/>
        </w:numPr>
        <w:spacing w:before="100" w:beforeAutospacing="1" w:after="100" w:afterAutospacing="1" w:line="360" w:lineRule="auto"/>
        <w:rPr>
          <w:rFonts w:ascii="Times New Roman" w:hAnsi="Times New Roman" w:cs="Times New Roman"/>
          <w:color w:val="000000"/>
          <w:sz w:val="24"/>
          <w:szCs w:val="24"/>
        </w:rPr>
      </w:pPr>
      <w:r w:rsidRPr="00927915">
        <w:rPr>
          <w:rFonts w:ascii="Times New Roman" w:hAnsi="Times New Roman" w:cs="Times New Roman"/>
          <w:color w:val="000000"/>
          <w:sz w:val="24"/>
          <w:szCs w:val="24"/>
        </w:rPr>
        <w:t>Zakon o proračunu</w:t>
      </w:r>
    </w:p>
    <w:p w14:paraId="54C48CBF" w14:textId="77777777" w:rsidR="00494E91" w:rsidRPr="00927915" w:rsidRDefault="00494E91" w:rsidP="00494E91">
      <w:pPr>
        <w:numPr>
          <w:ilvl w:val="0"/>
          <w:numId w:val="7"/>
        </w:numPr>
        <w:spacing w:before="100" w:beforeAutospacing="1" w:after="100" w:afterAutospacing="1" w:line="360" w:lineRule="auto"/>
        <w:rPr>
          <w:rFonts w:ascii="Times New Roman" w:hAnsi="Times New Roman" w:cs="Times New Roman"/>
          <w:color w:val="000000"/>
          <w:sz w:val="24"/>
          <w:szCs w:val="24"/>
        </w:rPr>
      </w:pPr>
      <w:r w:rsidRPr="00927915">
        <w:rPr>
          <w:rFonts w:ascii="Times New Roman" w:hAnsi="Times New Roman" w:cs="Times New Roman"/>
          <w:sz w:val="24"/>
          <w:szCs w:val="24"/>
        </w:rPr>
        <w:t>Zakon o fiskalnoj odgovornosti</w:t>
      </w:r>
    </w:p>
    <w:p w14:paraId="13584C63" w14:textId="60914663" w:rsidR="00F815A6" w:rsidRPr="007D0622" w:rsidRDefault="00494E91" w:rsidP="007D0622">
      <w:pPr>
        <w:numPr>
          <w:ilvl w:val="0"/>
          <w:numId w:val="7"/>
        </w:numPr>
        <w:spacing w:before="100" w:beforeAutospacing="1" w:after="100" w:afterAutospacing="1" w:line="360" w:lineRule="auto"/>
        <w:rPr>
          <w:rFonts w:ascii="Times New Roman" w:hAnsi="Times New Roman" w:cs="Times New Roman"/>
          <w:color w:val="000000"/>
          <w:sz w:val="24"/>
          <w:szCs w:val="24"/>
        </w:rPr>
      </w:pPr>
      <w:r w:rsidRPr="00927915">
        <w:rPr>
          <w:rFonts w:ascii="Times New Roman" w:hAnsi="Times New Roman" w:cs="Times New Roman"/>
          <w:sz w:val="24"/>
          <w:szCs w:val="24"/>
        </w:rPr>
        <w:t xml:space="preserve">Uputa za izradu </w:t>
      </w:r>
      <w:r w:rsidR="00AC6506">
        <w:rPr>
          <w:rFonts w:ascii="Times New Roman" w:hAnsi="Times New Roman" w:cs="Times New Roman"/>
          <w:sz w:val="24"/>
          <w:szCs w:val="24"/>
        </w:rPr>
        <w:t>i dostavu p</w:t>
      </w:r>
      <w:r w:rsidRPr="00927915">
        <w:rPr>
          <w:rFonts w:ascii="Times New Roman" w:hAnsi="Times New Roman" w:cs="Times New Roman"/>
          <w:sz w:val="24"/>
          <w:szCs w:val="24"/>
        </w:rPr>
        <w:t>rijedloga fina</w:t>
      </w:r>
      <w:r w:rsidR="00FB7FC7">
        <w:rPr>
          <w:rFonts w:ascii="Times New Roman" w:hAnsi="Times New Roman" w:cs="Times New Roman"/>
          <w:sz w:val="24"/>
          <w:szCs w:val="24"/>
        </w:rPr>
        <w:t>ncijskog plana za razdoblje 202</w:t>
      </w:r>
      <w:r w:rsidR="0079187D">
        <w:rPr>
          <w:rFonts w:ascii="Times New Roman" w:hAnsi="Times New Roman" w:cs="Times New Roman"/>
          <w:sz w:val="24"/>
          <w:szCs w:val="24"/>
        </w:rPr>
        <w:t>5</w:t>
      </w:r>
      <w:r w:rsidRPr="00927915">
        <w:rPr>
          <w:rFonts w:ascii="Times New Roman" w:hAnsi="Times New Roman" w:cs="Times New Roman"/>
          <w:sz w:val="24"/>
          <w:szCs w:val="24"/>
        </w:rPr>
        <w:t>. – 202</w:t>
      </w:r>
      <w:r w:rsidR="0079187D">
        <w:rPr>
          <w:rFonts w:ascii="Times New Roman" w:hAnsi="Times New Roman" w:cs="Times New Roman"/>
          <w:sz w:val="24"/>
          <w:szCs w:val="24"/>
        </w:rPr>
        <w:t>7</w:t>
      </w:r>
      <w:r w:rsidRPr="00927915">
        <w:rPr>
          <w:rFonts w:ascii="Times New Roman" w:hAnsi="Times New Roman" w:cs="Times New Roman"/>
          <w:sz w:val="24"/>
          <w:szCs w:val="24"/>
        </w:rPr>
        <w:t>. godine</w:t>
      </w:r>
      <w:r w:rsidR="0068095D">
        <w:rPr>
          <w:rFonts w:ascii="Times New Roman" w:hAnsi="Times New Roman" w:cs="Times New Roman"/>
          <w:sz w:val="24"/>
          <w:szCs w:val="24"/>
        </w:rPr>
        <w:t>.</w:t>
      </w:r>
    </w:p>
    <w:tbl>
      <w:tblPr>
        <w:tblW w:w="8820" w:type="dxa"/>
        <w:tblLook w:val="04A0" w:firstRow="1" w:lastRow="0" w:firstColumn="1" w:lastColumn="0" w:noHBand="0" w:noVBand="1"/>
      </w:tblPr>
      <w:tblGrid>
        <w:gridCol w:w="1402"/>
        <w:gridCol w:w="1298"/>
        <w:gridCol w:w="1296"/>
        <w:gridCol w:w="1296"/>
        <w:gridCol w:w="1296"/>
        <w:gridCol w:w="1296"/>
        <w:gridCol w:w="936"/>
      </w:tblGrid>
      <w:tr w:rsidR="00B676ED" w:rsidRPr="00B676ED" w14:paraId="0CDC41A2" w14:textId="77777777" w:rsidTr="00B676ED">
        <w:trPr>
          <w:trHeight w:val="450"/>
        </w:trPr>
        <w:tc>
          <w:tcPr>
            <w:tcW w:w="1402"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D773301" w14:textId="77777777" w:rsidR="00B676ED" w:rsidRPr="008F2030" w:rsidRDefault="00B676ED" w:rsidP="00B676ED">
            <w:pPr>
              <w:spacing w:after="0" w:line="240" w:lineRule="auto"/>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98"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0EC7A51"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29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B1D3DCF"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29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1BD8F383"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9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D029CBD"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29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1843E8B0"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93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0425C51" w14:textId="77777777" w:rsidR="00B676ED" w:rsidRPr="008F2030" w:rsidRDefault="00B676ED" w:rsidP="00B676ED">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B676ED" w:rsidRPr="00B676ED" w14:paraId="7E419963" w14:textId="77777777" w:rsidTr="00B676ED">
        <w:trPr>
          <w:trHeight w:val="450"/>
        </w:trPr>
        <w:tc>
          <w:tcPr>
            <w:tcW w:w="1402" w:type="dxa"/>
            <w:vMerge/>
            <w:tcBorders>
              <w:top w:val="single" w:sz="8" w:space="0" w:color="auto"/>
              <w:left w:val="single" w:sz="8" w:space="0" w:color="auto"/>
              <w:bottom w:val="single" w:sz="8" w:space="0" w:color="000000"/>
              <w:right w:val="single" w:sz="8" w:space="0" w:color="auto"/>
            </w:tcBorders>
            <w:vAlign w:val="center"/>
            <w:hideMark/>
          </w:tcPr>
          <w:p w14:paraId="78CE8BC9"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14:paraId="26D5A57B"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6D3A39F8"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6DCEDA93"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33A4206E"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3A7CEC82"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14:paraId="658A1B2E"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p>
        </w:tc>
      </w:tr>
      <w:tr w:rsidR="00B676ED" w:rsidRPr="00B676ED" w14:paraId="770E9627" w14:textId="77777777" w:rsidTr="00B676ED">
        <w:trPr>
          <w:trHeight w:val="330"/>
        </w:trPr>
        <w:tc>
          <w:tcPr>
            <w:tcW w:w="1402" w:type="dxa"/>
            <w:tcBorders>
              <w:top w:val="nil"/>
              <w:left w:val="single" w:sz="8" w:space="0" w:color="auto"/>
              <w:bottom w:val="single" w:sz="8" w:space="0" w:color="auto"/>
              <w:right w:val="single" w:sz="8" w:space="0" w:color="auto"/>
            </w:tcBorders>
            <w:shd w:val="clear" w:color="auto" w:fill="auto"/>
            <w:vAlign w:val="center"/>
            <w:hideMark/>
          </w:tcPr>
          <w:p w14:paraId="35A65776" w14:textId="77777777" w:rsidR="00B676ED" w:rsidRPr="00B676ED" w:rsidRDefault="00B676ED" w:rsidP="00B676ED">
            <w:pPr>
              <w:spacing w:after="0" w:line="240" w:lineRule="auto"/>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A621001</w:t>
            </w:r>
          </w:p>
        </w:tc>
        <w:tc>
          <w:tcPr>
            <w:tcW w:w="1298" w:type="dxa"/>
            <w:tcBorders>
              <w:top w:val="nil"/>
              <w:left w:val="nil"/>
              <w:bottom w:val="single" w:sz="8" w:space="0" w:color="auto"/>
              <w:right w:val="single" w:sz="8" w:space="0" w:color="auto"/>
            </w:tcBorders>
            <w:shd w:val="clear" w:color="auto" w:fill="auto"/>
            <w:vAlign w:val="center"/>
            <w:hideMark/>
          </w:tcPr>
          <w:p w14:paraId="4976244E" w14:textId="77777777" w:rsidR="00B676ED" w:rsidRPr="00B676ED" w:rsidRDefault="00B676ED" w:rsidP="00B676ED">
            <w:pPr>
              <w:spacing w:after="0" w:line="240" w:lineRule="auto"/>
              <w:jc w:val="both"/>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10.056.841</w:t>
            </w:r>
          </w:p>
        </w:tc>
        <w:tc>
          <w:tcPr>
            <w:tcW w:w="1296" w:type="dxa"/>
            <w:tcBorders>
              <w:top w:val="nil"/>
              <w:left w:val="nil"/>
              <w:bottom w:val="single" w:sz="8" w:space="0" w:color="auto"/>
              <w:right w:val="single" w:sz="8" w:space="0" w:color="auto"/>
            </w:tcBorders>
            <w:shd w:val="clear" w:color="auto" w:fill="auto"/>
            <w:vAlign w:val="center"/>
            <w:hideMark/>
          </w:tcPr>
          <w:p w14:paraId="545BA764" w14:textId="77777777" w:rsidR="00B676ED" w:rsidRPr="00B676ED" w:rsidRDefault="00B676ED" w:rsidP="00B676ED">
            <w:pPr>
              <w:spacing w:after="0" w:line="240" w:lineRule="auto"/>
              <w:jc w:val="both"/>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11.987.186</w:t>
            </w:r>
          </w:p>
        </w:tc>
        <w:tc>
          <w:tcPr>
            <w:tcW w:w="1296" w:type="dxa"/>
            <w:tcBorders>
              <w:top w:val="nil"/>
              <w:left w:val="nil"/>
              <w:bottom w:val="single" w:sz="8" w:space="0" w:color="auto"/>
              <w:right w:val="single" w:sz="8" w:space="0" w:color="auto"/>
            </w:tcBorders>
            <w:shd w:val="clear" w:color="auto" w:fill="auto"/>
            <w:vAlign w:val="center"/>
            <w:hideMark/>
          </w:tcPr>
          <w:p w14:paraId="5B31861C" w14:textId="4B6FCE4B" w:rsidR="00B676ED" w:rsidRPr="00B676ED" w:rsidRDefault="00B676ED" w:rsidP="00B676ED">
            <w:pPr>
              <w:spacing w:after="0" w:line="240" w:lineRule="auto"/>
              <w:jc w:val="right"/>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12.</w:t>
            </w:r>
            <w:r w:rsidR="004556FF">
              <w:rPr>
                <w:rFonts w:ascii="Times New Roman" w:eastAsia="Times New Roman" w:hAnsi="Times New Roman" w:cs="Times New Roman"/>
                <w:color w:val="000000"/>
                <w:sz w:val="24"/>
                <w:szCs w:val="24"/>
                <w:lang w:val="en-US"/>
              </w:rPr>
              <w:t>790.898</w:t>
            </w:r>
          </w:p>
        </w:tc>
        <w:tc>
          <w:tcPr>
            <w:tcW w:w="1296" w:type="dxa"/>
            <w:tcBorders>
              <w:top w:val="nil"/>
              <w:left w:val="nil"/>
              <w:bottom w:val="single" w:sz="8" w:space="0" w:color="auto"/>
              <w:right w:val="single" w:sz="8" w:space="0" w:color="auto"/>
            </w:tcBorders>
            <w:shd w:val="clear" w:color="auto" w:fill="auto"/>
            <w:vAlign w:val="center"/>
            <w:hideMark/>
          </w:tcPr>
          <w:p w14:paraId="15F2D7C3" w14:textId="205F126D" w:rsidR="00B676ED" w:rsidRPr="00B676ED" w:rsidRDefault="00B676ED" w:rsidP="00B676ED">
            <w:pPr>
              <w:spacing w:after="0" w:line="240" w:lineRule="auto"/>
              <w:jc w:val="right"/>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12.</w:t>
            </w:r>
            <w:r w:rsidR="004556FF">
              <w:rPr>
                <w:rFonts w:ascii="Times New Roman" w:eastAsia="Times New Roman" w:hAnsi="Times New Roman" w:cs="Times New Roman"/>
                <w:color w:val="000000"/>
                <w:sz w:val="24"/>
                <w:szCs w:val="24"/>
                <w:lang w:val="en-US"/>
              </w:rPr>
              <w:t>853.657</w:t>
            </w:r>
          </w:p>
        </w:tc>
        <w:tc>
          <w:tcPr>
            <w:tcW w:w="1296" w:type="dxa"/>
            <w:tcBorders>
              <w:top w:val="nil"/>
              <w:left w:val="nil"/>
              <w:bottom w:val="single" w:sz="8" w:space="0" w:color="auto"/>
              <w:right w:val="single" w:sz="8" w:space="0" w:color="auto"/>
            </w:tcBorders>
            <w:shd w:val="clear" w:color="auto" w:fill="auto"/>
            <w:vAlign w:val="center"/>
            <w:hideMark/>
          </w:tcPr>
          <w:p w14:paraId="204C036C" w14:textId="4E78E561" w:rsidR="00B676ED" w:rsidRPr="00B676ED" w:rsidRDefault="00B676ED" w:rsidP="00B676ED">
            <w:pPr>
              <w:spacing w:after="0" w:line="240" w:lineRule="auto"/>
              <w:jc w:val="right"/>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12.91</w:t>
            </w:r>
            <w:r w:rsidR="004556FF">
              <w:rPr>
                <w:rFonts w:ascii="Times New Roman" w:eastAsia="Times New Roman" w:hAnsi="Times New Roman" w:cs="Times New Roman"/>
                <w:color w:val="000000"/>
                <w:sz w:val="24"/>
                <w:szCs w:val="24"/>
                <w:lang w:val="en-US"/>
              </w:rPr>
              <w:t>6.731</w:t>
            </w:r>
          </w:p>
        </w:tc>
        <w:tc>
          <w:tcPr>
            <w:tcW w:w="936" w:type="dxa"/>
            <w:tcBorders>
              <w:top w:val="nil"/>
              <w:left w:val="nil"/>
              <w:bottom w:val="single" w:sz="8" w:space="0" w:color="auto"/>
              <w:right w:val="single" w:sz="8" w:space="0" w:color="auto"/>
            </w:tcBorders>
            <w:shd w:val="clear" w:color="auto" w:fill="auto"/>
            <w:vAlign w:val="center"/>
            <w:hideMark/>
          </w:tcPr>
          <w:p w14:paraId="1F2C06D3" w14:textId="1885AF0F" w:rsidR="00B676ED" w:rsidRPr="00B676ED" w:rsidRDefault="00B676ED" w:rsidP="00B676ED">
            <w:pPr>
              <w:spacing w:after="0" w:line="240" w:lineRule="auto"/>
              <w:jc w:val="right"/>
              <w:rPr>
                <w:rFonts w:ascii="Times New Roman" w:eastAsia="Times New Roman" w:hAnsi="Times New Roman" w:cs="Times New Roman"/>
                <w:color w:val="000000"/>
                <w:sz w:val="24"/>
                <w:szCs w:val="24"/>
                <w:lang w:val="en-US"/>
              </w:rPr>
            </w:pPr>
            <w:r w:rsidRPr="00B676ED">
              <w:rPr>
                <w:rFonts w:ascii="Times New Roman" w:eastAsia="Times New Roman" w:hAnsi="Times New Roman" w:cs="Times New Roman"/>
                <w:color w:val="000000"/>
                <w:sz w:val="24"/>
                <w:szCs w:val="24"/>
                <w:lang w:val="en-US"/>
              </w:rPr>
              <w:t>10</w:t>
            </w:r>
            <w:r w:rsidR="004556FF">
              <w:rPr>
                <w:rFonts w:ascii="Times New Roman" w:eastAsia="Times New Roman" w:hAnsi="Times New Roman" w:cs="Times New Roman"/>
                <w:color w:val="000000"/>
                <w:sz w:val="24"/>
                <w:szCs w:val="24"/>
                <w:lang w:val="en-US"/>
              </w:rPr>
              <w:t>6,70</w:t>
            </w:r>
          </w:p>
        </w:tc>
      </w:tr>
    </w:tbl>
    <w:p w14:paraId="0844B3C0" w14:textId="77777777" w:rsidR="006E5F48" w:rsidRDefault="006E5F48" w:rsidP="00DF6FAA">
      <w:pPr>
        <w:spacing w:line="360" w:lineRule="auto"/>
        <w:jc w:val="both"/>
        <w:rPr>
          <w:rFonts w:ascii="Times New Roman" w:hAnsi="Times New Roman" w:cs="Times New Roman"/>
          <w:sz w:val="24"/>
          <w:szCs w:val="24"/>
        </w:rPr>
      </w:pPr>
    </w:p>
    <w:p w14:paraId="674C1FA3" w14:textId="0596E10F" w:rsidR="00324046" w:rsidRPr="00927915" w:rsidRDefault="00494E91" w:rsidP="00DF6FAA">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Ova aktivnost sastoji se od sljedećih elemenata/podaktivnosti:</w:t>
      </w:r>
      <w:r w:rsidR="00DF6FAA" w:rsidRPr="00927915">
        <w:rPr>
          <w:rFonts w:ascii="Times New Roman" w:hAnsi="Times New Roman" w:cs="Times New Roman"/>
          <w:sz w:val="24"/>
          <w:szCs w:val="24"/>
        </w:rPr>
        <w:t xml:space="preserve"> </w:t>
      </w:r>
    </w:p>
    <w:p w14:paraId="6E669FDB" w14:textId="77777777" w:rsidR="00324046" w:rsidRPr="00927915" w:rsidRDefault="00324046"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plaće za zaposlene i plaće za posebne uvjete rada</w:t>
      </w:r>
    </w:p>
    <w:p w14:paraId="720F871F" w14:textId="77777777" w:rsidR="00324046" w:rsidRPr="00927915" w:rsidRDefault="00324046"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materijalna prava zaposlenih</w:t>
      </w:r>
      <w:r w:rsidR="00DF6FAA" w:rsidRPr="00927915">
        <w:rPr>
          <w:rFonts w:ascii="Times New Roman" w:hAnsi="Times New Roman" w:cs="Times New Roman"/>
          <w:sz w:val="24"/>
          <w:szCs w:val="24"/>
        </w:rPr>
        <w:t xml:space="preserve"> </w:t>
      </w:r>
    </w:p>
    <w:p w14:paraId="58BFA61F" w14:textId="77777777" w:rsidR="00324046" w:rsidRPr="00927915" w:rsidRDefault="00DF6FAA"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doprinosi</w:t>
      </w:r>
      <w:r w:rsidR="00324046" w:rsidRPr="00927915">
        <w:rPr>
          <w:rFonts w:ascii="Times New Roman" w:hAnsi="Times New Roman" w:cs="Times New Roman"/>
          <w:sz w:val="24"/>
          <w:szCs w:val="24"/>
        </w:rPr>
        <w:t xml:space="preserve"> za zaposlene</w:t>
      </w:r>
      <w:r w:rsidRPr="00927915">
        <w:rPr>
          <w:rFonts w:ascii="Times New Roman" w:hAnsi="Times New Roman" w:cs="Times New Roman"/>
          <w:sz w:val="24"/>
          <w:szCs w:val="24"/>
        </w:rPr>
        <w:t xml:space="preserve"> </w:t>
      </w:r>
    </w:p>
    <w:p w14:paraId="4B54E8D3" w14:textId="77777777" w:rsidR="00324046" w:rsidRPr="00927915" w:rsidRDefault="00324046"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naknada za prijevoz zaposlenika</w:t>
      </w:r>
    </w:p>
    <w:p w14:paraId="1374C045" w14:textId="77777777" w:rsidR="00324046" w:rsidRPr="00927915" w:rsidRDefault="00324046"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sistematski pregledi</w:t>
      </w:r>
      <w:r w:rsidR="00DF6FAA" w:rsidRPr="00927915">
        <w:rPr>
          <w:rFonts w:ascii="Times New Roman" w:hAnsi="Times New Roman" w:cs="Times New Roman"/>
          <w:sz w:val="24"/>
          <w:szCs w:val="24"/>
        </w:rPr>
        <w:t xml:space="preserve"> </w:t>
      </w:r>
    </w:p>
    <w:p w14:paraId="0100D3D6" w14:textId="77777777" w:rsidR="00494E91" w:rsidRPr="00927915" w:rsidRDefault="00DF6FAA" w:rsidP="00324046">
      <w:pPr>
        <w:pStyle w:val="ListParagraph"/>
        <w:numPr>
          <w:ilvl w:val="0"/>
          <w:numId w:val="11"/>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naknade</w:t>
      </w:r>
      <w:r w:rsidR="00324046" w:rsidRPr="00927915">
        <w:rPr>
          <w:rFonts w:ascii="Times New Roman" w:hAnsi="Times New Roman" w:cs="Times New Roman"/>
          <w:sz w:val="24"/>
          <w:szCs w:val="24"/>
        </w:rPr>
        <w:t xml:space="preserve"> za zapošljavanje invalidnih</w:t>
      </w:r>
      <w:r w:rsidRPr="00927915">
        <w:rPr>
          <w:rFonts w:ascii="Times New Roman" w:hAnsi="Times New Roman" w:cs="Times New Roman"/>
          <w:sz w:val="24"/>
          <w:szCs w:val="24"/>
        </w:rPr>
        <w:t xml:space="preserve"> osoba.</w:t>
      </w:r>
    </w:p>
    <w:p w14:paraId="17CB7822" w14:textId="2A3B674C" w:rsidR="00494E91" w:rsidRPr="00927915" w:rsidRDefault="00494E91" w:rsidP="00494E91">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 xml:space="preserve">Planirana sredstva za izvor 11 Opći prihodi i primici pod aktivnošću A621001 Redovna djelatnost Sveučilišta u Zagrebu temelje se na zadanim limitima Sveučilišta u Zagrebu za sastavnice. </w:t>
      </w:r>
      <w:r w:rsidR="00E80613">
        <w:rPr>
          <w:rFonts w:ascii="Times New Roman" w:hAnsi="Times New Roman" w:cs="Times New Roman"/>
          <w:sz w:val="24"/>
          <w:szCs w:val="24"/>
        </w:rPr>
        <w:t>Za 202</w:t>
      </w:r>
      <w:r w:rsidR="0079187D">
        <w:rPr>
          <w:rFonts w:ascii="Times New Roman" w:hAnsi="Times New Roman" w:cs="Times New Roman"/>
          <w:sz w:val="24"/>
          <w:szCs w:val="24"/>
        </w:rPr>
        <w:t>5</w:t>
      </w:r>
      <w:r w:rsidR="00DF6FAA" w:rsidRPr="00927915">
        <w:rPr>
          <w:rFonts w:ascii="Times New Roman" w:hAnsi="Times New Roman" w:cs="Times New Roman"/>
          <w:sz w:val="24"/>
          <w:szCs w:val="24"/>
        </w:rPr>
        <w:t>. godinu planirani su</w:t>
      </w:r>
      <w:r w:rsidR="007258E1">
        <w:rPr>
          <w:rFonts w:ascii="Times New Roman" w:hAnsi="Times New Roman" w:cs="Times New Roman"/>
          <w:sz w:val="24"/>
          <w:szCs w:val="24"/>
        </w:rPr>
        <w:t xml:space="preserve"> rashodi s povećanjem od </w:t>
      </w:r>
      <w:r w:rsidR="00454861">
        <w:rPr>
          <w:rFonts w:ascii="Times New Roman" w:hAnsi="Times New Roman" w:cs="Times New Roman"/>
          <w:sz w:val="24"/>
          <w:szCs w:val="24"/>
        </w:rPr>
        <w:t>6,70</w:t>
      </w:r>
      <w:r w:rsidR="00DF6FAA" w:rsidRPr="00927915">
        <w:rPr>
          <w:rFonts w:ascii="Times New Roman" w:hAnsi="Times New Roman" w:cs="Times New Roman"/>
          <w:sz w:val="24"/>
          <w:szCs w:val="24"/>
        </w:rPr>
        <w:t>%</w:t>
      </w:r>
      <w:r w:rsidR="0068095D">
        <w:rPr>
          <w:rFonts w:ascii="Times New Roman" w:hAnsi="Times New Roman" w:cs="Times New Roman"/>
          <w:sz w:val="24"/>
          <w:szCs w:val="24"/>
        </w:rPr>
        <w:t xml:space="preserve"> </w:t>
      </w:r>
      <w:r w:rsidR="00DF6FAA" w:rsidRPr="00927915">
        <w:rPr>
          <w:rFonts w:ascii="Times New Roman" w:hAnsi="Times New Roman" w:cs="Times New Roman"/>
          <w:sz w:val="24"/>
          <w:szCs w:val="24"/>
        </w:rPr>
        <w:t xml:space="preserve"> u odnosu na </w:t>
      </w:r>
      <w:r w:rsidR="00DF6FAA" w:rsidRPr="00927915">
        <w:rPr>
          <w:rFonts w:ascii="Times New Roman" w:hAnsi="Times New Roman" w:cs="Times New Roman"/>
          <w:sz w:val="24"/>
          <w:szCs w:val="24"/>
        </w:rPr>
        <w:lastRenderedPageBreak/>
        <w:t>prethodnu godinu</w:t>
      </w:r>
      <w:r w:rsidR="00AC6506">
        <w:rPr>
          <w:rFonts w:ascii="Times New Roman" w:hAnsi="Times New Roman" w:cs="Times New Roman"/>
          <w:sz w:val="24"/>
          <w:szCs w:val="24"/>
        </w:rPr>
        <w:t xml:space="preserve">. </w:t>
      </w:r>
      <w:r w:rsidR="00AC6506" w:rsidRPr="00AC6506">
        <w:rPr>
          <w:rFonts w:ascii="Times New Roman" w:hAnsi="Times New Roman" w:cs="Times New Roman"/>
          <w:sz w:val="24"/>
          <w:szCs w:val="24"/>
        </w:rPr>
        <w:t>Projekcije za 2026. g.  i 2027. g. planirane su u jednakom iznosu prema uputi.</w:t>
      </w:r>
    </w:p>
    <w:p w14:paraId="73CC7D73" w14:textId="77777777" w:rsidR="00494E91" w:rsidRPr="00927915" w:rsidRDefault="009A7DB7" w:rsidP="00494E91">
      <w:pPr>
        <w:pBdr>
          <w:top w:val="dotted" w:sz="4" w:space="1" w:color="808080" w:themeColor="background1" w:themeShade="80"/>
          <w:bottom w:val="dotted" w:sz="4" w:space="1" w:color="808080" w:themeColor="background1" w:themeShade="80"/>
        </w:pBdr>
        <w:shd w:val="clear" w:color="auto" w:fill="D0CECE" w:themeFill="background2" w:themeFillShade="E6"/>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A622122 Programsko financiranje</w:t>
      </w:r>
      <w:r w:rsidR="00494E91" w:rsidRPr="00927915">
        <w:rPr>
          <w:rFonts w:ascii="Times New Roman" w:hAnsi="Times New Roman" w:cs="Times New Roman"/>
          <w:sz w:val="24"/>
          <w:szCs w:val="24"/>
        </w:rPr>
        <w:t xml:space="preserve"> Sveučilišta u Zagrebu</w:t>
      </w:r>
    </w:p>
    <w:p w14:paraId="06F5ACF7" w14:textId="77777777" w:rsidR="00306178" w:rsidRPr="00927915" w:rsidRDefault="00306178" w:rsidP="00306178">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Ova aktivnost sastoji se od sljedećih elemenata/podaktivnosti:</w:t>
      </w:r>
    </w:p>
    <w:p w14:paraId="19F9251F" w14:textId="77777777" w:rsidR="008E0E0E" w:rsidRPr="00927915" w:rsidRDefault="00306178" w:rsidP="008E0E0E">
      <w:pPr>
        <w:pStyle w:val="ListParagraph"/>
        <w:numPr>
          <w:ilvl w:val="0"/>
          <w:numId w:val="13"/>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programsko financiranje materijalnih troškova</w:t>
      </w:r>
    </w:p>
    <w:p w14:paraId="0611E23E" w14:textId="77777777" w:rsidR="00F04095" w:rsidRPr="00927915" w:rsidRDefault="00306178" w:rsidP="008E0E0E">
      <w:pPr>
        <w:pStyle w:val="ListParagraph"/>
        <w:numPr>
          <w:ilvl w:val="0"/>
          <w:numId w:val="13"/>
        </w:num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potpore znanstvenim istraživanjima</w:t>
      </w:r>
    </w:p>
    <w:tbl>
      <w:tblPr>
        <w:tblStyle w:val="TableGrid11"/>
        <w:tblW w:w="9062" w:type="dxa"/>
        <w:tblLook w:val="04A0" w:firstRow="1" w:lastRow="0" w:firstColumn="1" w:lastColumn="0" w:noHBand="0" w:noVBand="1"/>
      </w:tblPr>
      <w:tblGrid>
        <w:gridCol w:w="1709"/>
        <w:gridCol w:w="1231"/>
        <w:gridCol w:w="1215"/>
        <w:gridCol w:w="1215"/>
        <w:gridCol w:w="1248"/>
        <w:gridCol w:w="1249"/>
        <w:gridCol w:w="1195"/>
      </w:tblGrid>
      <w:tr w:rsidR="0079187D" w:rsidRPr="0079187D" w14:paraId="69431C79" w14:textId="77777777" w:rsidTr="0079187D">
        <w:trPr>
          <w:trHeight w:val="450"/>
        </w:trPr>
        <w:tc>
          <w:tcPr>
            <w:tcW w:w="1709" w:type="dxa"/>
            <w:vMerge w:val="restart"/>
            <w:hideMark/>
          </w:tcPr>
          <w:p w14:paraId="77211F0A" w14:textId="77777777" w:rsidR="0079187D" w:rsidRPr="008F2030" w:rsidRDefault="0079187D" w:rsidP="0079187D">
            <w:pPr>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31" w:type="dxa"/>
            <w:vMerge w:val="restart"/>
            <w:hideMark/>
          </w:tcPr>
          <w:p w14:paraId="4CB0BD84"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215" w:type="dxa"/>
            <w:vMerge w:val="restart"/>
            <w:hideMark/>
          </w:tcPr>
          <w:p w14:paraId="33634699"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215" w:type="dxa"/>
            <w:vMerge w:val="restart"/>
            <w:hideMark/>
          </w:tcPr>
          <w:p w14:paraId="029826AA"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48" w:type="dxa"/>
            <w:vMerge w:val="restart"/>
            <w:hideMark/>
          </w:tcPr>
          <w:p w14:paraId="220FFB63"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249" w:type="dxa"/>
            <w:vMerge w:val="restart"/>
            <w:hideMark/>
          </w:tcPr>
          <w:p w14:paraId="5A2BBE36"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1195" w:type="dxa"/>
            <w:vMerge w:val="restart"/>
            <w:hideMark/>
          </w:tcPr>
          <w:p w14:paraId="5B2D05C4" w14:textId="77777777" w:rsidR="0079187D" w:rsidRPr="008F2030" w:rsidRDefault="0079187D" w:rsidP="0079187D">
            <w:pPr>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79187D" w:rsidRPr="0079187D" w14:paraId="6DC52F9B" w14:textId="77777777" w:rsidTr="0079187D">
        <w:trPr>
          <w:trHeight w:val="450"/>
        </w:trPr>
        <w:tc>
          <w:tcPr>
            <w:tcW w:w="1709" w:type="dxa"/>
            <w:vMerge/>
            <w:hideMark/>
          </w:tcPr>
          <w:p w14:paraId="4EA839DA"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231" w:type="dxa"/>
            <w:vMerge/>
            <w:hideMark/>
          </w:tcPr>
          <w:p w14:paraId="26C04F9E"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215" w:type="dxa"/>
            <w:vMerge/>
            <w:hideMark/>
          </w:tcPr>
          <w:p w14:paraId="3ABB17B2"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215" w:type="dxa"/>
            <w:vMerge/>
            <w:hideMark/>
          </w:tcPr>
          <w:p w14:paraId="3688E374"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248" w:type="dxa"/>
            <w:vMerge/>
            <w:hideMark/>
          </w:tcPr>
          <w:p w14:paraId="3C8AA02C"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249" w:type="dxa"/>
            <w:vMerge/>
            <w:hideMark/>
          </w:tcPr>
          <w:p w14:paraId="2D2F9951" w14:textId="77777777" w:rsidR="0079187D" w:rsidRPr="0079187D" w:rsidRDefault="0079187D" w:rsidP="0079187D">
            <w:pPr>
              <w:rPr>
                <w:rFonts w:ascii="Times New Roman" w:eastAsia="Times New Roman" w:hAnsi="Times New Roman" w:cs="Times New Roman"/>
                <w:color w:val="000000"/>
                <w:sz w:val="24"/>
                <w:szCs w:val="24"/>
                <w:lang w:val="en-US"/>
              </w:rPr>
            </w:pPr>
          </w:p>
        </w:tc>
        <w:tc>
          <w:tcPr>
            <w:tcW w:w="1195" w:type="dxa"/>
            <w:vMerge/>
            <w:hideMark/>
          </w:tcPr>
          <w:p w14:paraId="16199065" w14:textId="77777777" w:rsidR="0079187D" w:rsidRPr="0079187D" w:rsidRDefault="0079187D" w:rsidP="0079187D">
            <w:pPr>
              <w:rPr>
                <w:rFonts w:ascii="Times New Roman" w:eastAsia="Times New Roman" w:hAnsi="Times New Roman" w:cs="Times New Roman"/>
                <w:color w:val="000000"/>
                <w:sz w:val="24"/>
                <w:szCs w:val="24"/>
                <w:lang w:val="en-US"/>
              </w:rPr>
            </w:pPr>
          </w:p>
        </w:tc>
      </w:tr>
      <w:tr w:rsidR="0079187D" w:rsidRPr="0079187D" w14:paraId="46E827FE" w14:textId="77777777" w:rsidTr="0079187D">
        <w:trPr>
          <w:trHeight w:val="330"/>
        </w:trPr>
        <w:tc>
          <w:tcPr>
            <w:tcW w:w="1709" w:type="dxa"/>
            <w:hideMark/>
          </w:tcPr>
          <w:p w14:paraId="40C04100" w14:textId="77777777" w:rsidR="0079187D" w:rsidRPr="0079187D" w:rsidRDefault="0079187D" w:rsidP="0079187D">
            <w:pPr>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A622122</w:t>
            </w:r>
          </w:p>
        </w:tc>
        <w:tc>
          <w:tcPr>
            <w:tcW w:w="1231" w:type="dxa"/>
            <w:hideMark/>
          </w:tcPr>
          <w:p w14:paraId="2A8A61DC" w14:textId="77777777" w:rsidR="0079187D" w:rsidRPr="0079187D" w:rsidRDefault="0079187D" w:rsidP="0079187D">
            <w:pPr>
              <w:jc w:val="both"/>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690.877</w:t>
            </w:r>
          </w:p>
        </w:tc>
        <w:tc>
          <w:tcPr>
            <w:tcW w:w="1215" w:type="dxa"/>
            <w:hideMark/>
          </w:tcPr>
          <w:p w14:paraId="19D90BFE" w14:textId="77777777" w:rsidR="0079187D" w:rsidRPr="0079187D" w:rsidRDefault="0079187D" w:rsidP="0079187D">
            <w:pPr>
              <w:jc w:val="both"/>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489.453</w:t>
            </w:r>
          </w:p>
        </w:tc>
        <w:tc>
          <w:tcPr>
            <w:tcW w:w="1215" w:type="dxa"/>
            <w:hideMark/>
          </w:tcPr>
          <w:p w14:paraId="36ADC54C" w14:textId="77777777" w:rsidR="0079187D" w:rsidRPr="0079187D" w:rsidRDefault="0079187D" w:rsidP="0079187D">
            <w:pPr>
              <w:jc w:val="both"/>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549.943</w:t>
            </w:r>
          </w:p>
        </w:tc>
        <w:tc>
          <w:tcPr>
            <w:tcW w:w="1248" w:type="dxa"/>
            <w:hideMark/>
          </w:tcPr>
          <w:p w14:paraId="4376CD06" w14:textId="577E7D69" w:rsidR="0079187D" w:rsidRPr="0079187D" w:rsidRDefault="0079187D" w:rsidP="0079187D">
            <w:pPr>
              <w:jc w:val="both"/>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5</w:t>
            </w:r>
            <w:r w:rsidR="00344AD0">
              <w:rPr>
                <w:rFonts w:ascii="Times New Roman" w:eastAsia="Times New Roman" w:hAnsi="Times New Roman" w:cs="Times New Roman"/>
                <w:color w:val="000000"/>
                <w:sz w:val="24"/>
                <w:szCs w:val="24"/>
                <w:lang w:val="en-US"/>
              </w:rPr>
              <w:t>67.507</w:t>
            </w:r>
          </w:p>
        </w:tc>
        <w:tc>
          <w:tcPr>
            <w:tcW w:w="1249" w:type="dxa"/>
            <w:hideMark/>
          </w:tcPr>
          <w:p w14:paraId="3FA445E8" w14:textId="36938AC1" w:rsidR="0079187D" w:rsidRPr="0079187D" w:rsidRDefault="0079187D" w:rsidP="0079187D">
            <w:pPr>
              <w:jc w:val="both"/>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5</w:t>
            </w:r>
            <w:r w:rsidR="00344AD0">
              <w:rPr>
                <w:rFonts w:ascii="Times New Roman" w:eastAsia="Times New Roman" w:hAnsi="Times New Roman" w:cs="Times New Roman"/>
                <w:color w:val="000000"/>
                <w:sz w:val="24"/>
                <w:szCs w:val="24"/>
                <w:lang w:val="en-US"/>
              </w:rPr>
              <w:t>67.597</w:t>
            </w:r>
          </w:p>
        </w:tc>
        <w:tc>
          <w:tcPr>
            <w:tcW w:w="1195" w:type="dxa"/>
            <w:hideMark/>
          </w:tcPr>
          <w:p w14:paraId="1C1AB03F" w14:textId="77777777" w:rsidR="0079187D" w:rsidRPr="0079187D" w:rsidRDefault="0079187D" w:rsidP="0079187D">
            <w:pPr>
              <w:jc w:val="right"/>
              <w:rPr>
                <w:rFonts w:ascii="Times New Roman" w:eastAsia="Times New Roman" w:hAnsi="Times New Roman" w:cs="Times New Roman"/>
                <w:color w:val="000000"/>
                <w:sz w:val="24"/>
                <w:szCs w:val="24"/>
                <w:lang w:val="en-US"/>
              </w:rPr>
            </w:pPr>
            <w:r w:rsidRPr="0079187D">
              <w:rPr>
                <w:rFonts w:ascii="Times New Roman" w:eastAsia="Times New Roman" w:hAnsi="Times New Roman" w:cs="Times New Roman"/>
                <w:color w:val="000000"/>
                <w:sz w:val="24"/>
                <w:szCs w:val="24"/>
                <w:lang w:val="en-US"/>
              </w:rPr>
              <w:t>112,36</w:t>
            </w:r>
          </w:p>
        </w:tc>
      </w:tr>
    </w:tbl>
    <w:p w14:paraId="53532393" w14:textId="77777777" w:rsidR="00F04095" w:rsidRPr="00927915" w:rsidRDefault="00F04095" w:rsidP="00324046">
      <w:pPr>
        <w:spacing w:line="360" w:lineRule="auto"/>
        <w:jc w:val="both"/>
        <w:rPr>
          <w:rFonts w:ascii="Times New Roman" w:hAnsi="Times New Roman" w:cs="Times New Roman"/>
          <w:sz w:val="24"/>
          <w:szCs w:val="24"/>
        </w:rPr>
      </w:pPr>
    </w:p>
    <w:p w14:paraId="3788923F" w14:textId="2E50B966" w:rsidR="00324046" w:rsidRPr="00927915" w:rsidRDefault="00ED704E" w:rsidP="00324046">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Za stavke subvencija programskog financiranje (participacija škol</w:t>
      </w:r>
      <w:r w:rsidR="001C61A7">
        <w:rPr>
          <w:rFonts w:ascii="Times New Roman" w:hAnsi="Times New Roman" w:cs="Times New Roman"/>
          <w:sz w:val="24"/>
          <w:szCs w:val="24"/>
        </w:rPr>
        <w:t>arina i potpora znanosti) u 202</w:t>
      </w:r>
      <w:r w:rsidR="0079187D">
        <w:rPr>
          <w:rFonts w:ascii="Times New Roman" w:hAnsi="Times New Roman" w:cs="Times New Roman"/>
          <w:sz w:val="24"/>
          <w:szCs w:val="24"/>
        </w:rPr>
        <w:t>5</w:t>
      </w:r>
      <w:r w:rsidRPr="00927915">
        <w:rPr>
          <w:rFonts w:ascii="Times New Roman" w:hAnsi="Times New Roman" w:cs="Times New Roman"/>
          <w:sz w:val="24"/>
          <w:szCs w:val="24"/>
        </w:rPr>
        <w:t xml:space="preserve">. godini planirana su sredstva </w:t>
      </w:r>
      <w:r w:rsidR="001C61A7">
        <w:rPr>
          <w:rFonts w:ascii="Times New Roman" w:hAnsi="Times New Roman" w:cs="Times New Roman"/>
          <w:sz w:val="24"/>
          <w:szCs w:val="24"/>
        </w:rPr>
        <w:t>prema limitima, s</w:t>
      </w:r>
      <w:r w:rsidR="00FC6539">
        <w:rPr>
          <w:rFonts w:ascii="Times New Roman" w:hAnsi="Times New Roman" w:cs="Times New Roman"/>
          <w:sz w:val="24"/>
          <w:szCs w:val="24"/>
        </w:rPr>
        <w:t xml:space="preserve">redstva su planirana sa </w:t>
      </w:r>
      <w:r w:rsidR="0079187D">
        <w:rPr>
          <w:rFonts w:ascii="Times New Roman" w:hAnsi="Times New Roman" w:cs="Times New Roman"/>
          <w:sz w:val="24"/>
          <w:szCs w:val="24"/>
        </w:rPr>
        <w:t>povećanjem</w:t>
      </w:r>
      <w:r w:rsidR="00FC6539">
        <w:rPr>
          <w:rFonts w:ascii="Times New Roman" w:hAnsi="Times New Roman" w:cs="Times New Roman"/>
          <w:sz w:val="24"/>
          <w:szCs w:val="24"/>
        </w:rPr>
        <w:t xml:space="preserve"> u odnosu na 202</w:t>
      </w:r>
      <w:r w:rsidR="0079187D">
        <w:rPr>
          <w:rFonts w:ascii="Times New Roman" w:hAnsi="Times New Roman" w:cs="Times New Roman"/>
          <w:sz w:val="24"/>
          <w:szCs w:val="24"/>
        </w:rPr>
        <w:t>4</w:t>
      </w:r>
      <w:r w:rsidR="00FC6539">
        <w:rPr>
          <w:rFonts w:ascii="Times New Roman" w:hAnsi="Times New Roman" w:cs="Times New Roman"/>
          <w:sz w:val="24"/>
          <w:szCs w:val="24"/>
        </w:rPr>
        <w:t>. g. za 1</w:t>
      </w:r>
      <w:r w:rsidR="0079187D">
        <w:rPr>
          <w:rFonts w:ascii="Times New Roman" w:hAnsi="Times New Roman" w:cs="Times New Roman"/>
          <w:sz w:val="24"/>
          <w:szCs w:val="24"/>
        </w:rPr>
        <w:t>2,36</w:t>
      </w:r>
      <w:r w:rsidR="001C61A7">
        <w:rPr>
          <w:rFonts w:ascii="Times New Roman" w:hAnsi="Times New Roman" w:cs="Times New Roman"/>
          <w:sz w:val="24"/>
          <w:szCs w:val="24"/>
        </w:rPr>
        <w:t>%.</w:t>
      </w:r>
      <w:bookmarkStart w:id="0" w:name="_Hlk182295719"/>
      <w:r w:rsidR="00214CD7">
        <w:rPr>
          <w:rFonts w:ascii="Times New Roman" w:hAnsi="Times New Roman" w:cs="Times New Roman"/>
          <w:sz w:val="24"/>
          <w:szCs w:val="24"/>
        </w:rPr>
        <w:t xml:space="preserve"> </w:t>
      </w:r>
      <w:r w:rsidR="001C61A7">
        <w:rPr>
          <w:rFonts w:ascii="Times New Roman" w:hAnsi="Times New Roman" w:cs="Times New Roman"/>
          <w:sz w:val="24"/>
          <w:szCs w:val="24"/>
        </w:rPr>
        <w:t>Projekcije za 202</w:t>
      </w:r>
      <w:r w:rsidR="0079187D">
        <w:rPr>
          <w:rFonts w:ascii="Times New Roman" w:hAnsi="Times New Roman" w:cs="Times New Roman"/>
          <w:sz w:val="24"/>
          <w:szCs w:val="24"/>
        </w:rPr>
        <w:t>6</w:t>
      </w:r>
      <w:r w:rsidRPr="00927915">
        <w:rPr>
          <w:rFonts w:ascii="Times New Roman" w:hAnsi="Times New Roman" w:cs="Times New Roman"/>
          <w:sz w:val="24"/>
          <w:szCs w:val="24"/>
        </w:rPr>
        <w:t>.</w:t>
      </w:r>
      <w:r w:rsidR="001C61A7">
        <w:rPr>
          <w:rFonts w:ascii="Times New Roman" w:hAnsi="Times New Roman" w:cs="Times New Roman"/>
          <w:sz w:val="24"/>
          <w:szCs w:val="24"/>
        </w:rPr>
        <w:t xml:space="preserve"> g.</w:t>
      </w:r>
      <w:r w:rsidRPr="00927915">
        <w:rPr>
          <w:rFonts w:ascii="Times New Roman" w:hAnsi="Times New Roman" w:cs="Times New Roman"/>
          <w:sz w:val="24"/>
          <w:szCs w:val="24"/>
        </w:rPr>
        <w:t xml:space="preserve"> </w:t>
      </w:r>
      <w:r w:rsidR="001C61A7">
        <w:rPr>
          <w:rFonts w:ascii="Times New Roman" w:hAnsi="Times New Roman" w:cs="Times New Roman"/>
          <w:sz w:val="24"/>
          <w:szCs w:val="24"/>
        </w:rPr>
        <w:t xml:space="preserve"> i 202</w:t>
      </w:r>
      <w:r w:rsidR="0079187D">
        <w:rPr>
          <w:rFonts w:ascii="Times New Roman" w:hAnsi="Times New Roman" w:cs="Times New Roman"/>
          <w:sz w:val="24"/>
          <w:szCs w:val="24"/>
        </w:rPr>
        <w:t>7</w:t>
      </w:r>
      <w:r w:rsidR="00F44C92">
        <w:rPr>
          <w:rFonts w:ascii="Times New Roman" w:hAnsi="Times New Roman" w:cs="Times New Roman"/>
          <w:sz w:val="24"/>
          <w:szCs w:val="24"/>
        </w:rPr>
        <w:t xml:space="preserve">. </w:t>
      </w:r>
      <w:r w:rsidRPr="00927915">
        <w:rPr>
          <w:rFonts w:ascii="Times New Roman" w:hAnsi="Times New Roman" w:cs="Times New Roman"/>
          <w:sz w:val="24"/>
          <w:szCs w:val="24"/>
        </w:rPr>
        <w:t xml:space="preserve">g. planirane su </w:t>
      </w:r>
      <w:r w:rsidR="00F44C92">
        <w:rPr>
          <w:rFonts w:ascii="Times New Roman" w:hAnsi="Times New Roman" w:cs="Times New Roman"/>
          <w:sz w:val="24"/>
          <w:szCs w:val="24"/>
        </w:rPr>
        <w:t xml:space="preserve">u jednakom iznosu </w:t>
      </w:r>
      <w:r w:rsidR="007A65D7">
        <w:rPr>
          <w:rFonts w:ascii="Times New Roman" w:hAnsi="Times New Roman" w:cs="Times New Roman"/>
          <w:sz w:val="24"/>
          <w:szCs w:val="24"/>
        </w:rPr>
        <w:t>prema uputi</w:t>
      </w:r>
      <w:r w:rsidRPr="00927915">
        <w:rPr>
          <w:rFonts w:ascii="Times New Roman" w:hAnsi="Times New Roman" w:cs="Times New Roman"/>
          <w:sz w:val="24"/>
          <w:szCs w:val="24"/>
        </w:rPr>
        <w:t>.</w:t>
      </w:r>
      <w:bookmarkEnd w:id="0"/>
    </w:p>
    <w:p w14:paraId="0D5F5E8B" w14:textId="7485C03C" w:rsidR="00F522E3" w:rsidRPr="00927915" w:rsidRDefault="00F522E3" w:rsidP="00CA622B">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Veterinarski fakultet Sveučilišta u Zagrebu je proračunski korisnik koji se financira iz proračunskih sredstava</w:t>
      </w:r>
      <w:r w:rsidR="00236ADC" w:rsidRPr="00927915">
        <w:rPr>
          <w:rFonts w:ascii="Times New Roman" w:hAnsi="Times New Roman" w:cs="Times New Roman"/>
          <w:sz w:val="24"/>
          <w:szCs w:val="24"/>
        </w:rPr>
        <w:t>, a</w:t>
      </w:r>
      <w:r w:rsidRPr="00927915">
        <w:rPr>
          <w:rFonts w:ascii="Times New Roman" w:hAnsi="Times New Roman" w:cs="Times New Roman"/>
          <w:sz w:val="24"/>
          <w:szCs w:val="24"/>
        </w:rPr>
        <w:t xml:space="preserve"> u okviru Sveučilišta u Zagrebu putem nadležnog Ministarstva znanosti i </w:t>
      </w:r>
      <w:r w:rsidR="00236ADC" w:rsidRPr="00927915">
        <w:rPr>
          <w:rFonts w:ascii="Times New Roman" w:hAnsi="Times New Roman" w:cs="Times New Roman"/>
          <w:sz w:val="24"/>
          <w:szCs w:val="24"/>
        </w:rPr>
        <w:t xml:space="preserve">obrazovanja. </w:t>
      </w:r>
      <w:r w:rsidR="00125958" w:rsidRPr="00125958">
        <w:rPr>
          <w:rFonts w:ascii="Times New Roman" w:hAnsi="Times New Roman" w:cs="Times New Roman"/>
          <w:sz w:val="24"/>
          <w:szCs w:val="24"/>
        </w:rPr>
        <w:t xml:space="preserve">Prema izvorima sredstava, u akademskoj godini 2023./2024. poslovanje </w:t>
      </w:r>
      <w:r w:rsidR="00AC6506">
        <w:rPr>
          <w:rFonts w:ascii="Times New Roman" w:hAnsi="Times New Roman" w:cs="Times New Roman"/>
          <w:sz w:val="24"/>
          <w:szCs w:val="24"/>
        </w:rPr>
        <w:t>Veterinarskog f</w:t>
      </w:r>
      <w:r w:rsidR="00125958" w:rsidRPr="00125958">
        <w:rPr>
          <w:rFonts w:ascii="Times New Roman" w:hAnsi="Times New Roman" w:cs="Times New Roman"/>
          <w:sz w:val="24"/>
          <w:szCs w:val="24"/>
        </w:rPr>
        <w:t>akulteta financirano je s 70,1% proračunskih prihoda, 17,6% vlastitih prihoda ostvarenih na tržištu, 9,16% namjenskih prihoda od školarina i 3,23% prihoda od tekuće pomoći za aktivnosti u okviru međunarodnih projekata.</w:t>
      </w:r>
    </w:p>
    <w:p w14:paraId="1EBAC44E" w14:textId="1D95DB8C" w:rsidR="00F522E3" w:rsidRPr="00927915" w:rsidRDefault="00F522E3" w:rsidP="00CA622B">
      <w:pPr>
        <w:spacing w:line="360" w:lineRule="auto"/>
        <w:jc w:val="both"/>
        <w:rPr>
          <w:rFonts w:ascii="Times New Roman" w:hAnsi="Times New Roman" w:cs="Times New Roman"/>
          <w:color w:val="000000"/>
          <w:sz w:val="24"/>
          <w:szCs w:val="24"/>
        </w:rPr>
      </w:pPr>
      <w:r w:rsidRPr="00927915">
        <w:rPr>
          <w:rFonts w:ascii="Times New Roman" w:hAnsi="Times New Roman" w:cs="Times New Roman"/>
          <w:color w:val="000000"/>
          <w:sz w:val="24"/>
          <w:szCs w:val="24"/>
        </w:rPr>
        <w:t>Iako planirana, sredstva Fakulteta ograničena su u proračunskom dijelu,</w:t>
      </w:r>
      <w:r w:rsidR="00CC6F20">
        <w:rPr>
          <w:rFonts w:ascii="Times New Roman" w:hAnsi="Times New Roman" w:cs="Times New Roman"/>
          <w:color w:val="000000"/>
          <w:sz w:val="24"/>
          <w:szCs w:val="24"/>
        </w:rPr>
        <w:t xml:space="preserve"> </w:t>
      </w:r>
      <w:r w:rsidRPr="00927915">
        <w:rPr>
          <w:rFonts w:ascii="Times New Roman" w:hAnsi="Times New Roman" w:cs="Times New Roman"/>
          <w:color w:val="000000"/>
          <w:sz w:val="24"/>
          <w:szCs w:val="24"/>
        </w:rPr>
        <w:t xml:space="preserve">proračunom Sveučilišta u Zagrebu čiji je sastavnica i </w:t>
      </w:r>
      <w:r w:rsidR="00CC6F20">
        <w:rPr>
          <w:rFonts w:ascii="Times New Roman" w:hAnsi="Times New Roman" w:cs="Times New Roman"/>
          <w:color w:val="000000"/>
          <w:sz w:val="24"/>
          <w:szCs w:val="24"/>
        </w:rPr>
        <w:t>Veterinarski f</w:t>
      </w:r>
      <w:r w:rsidRPr="00927915">
        <w:rPr>
          <w:rFonts w:ascii="Times New Roman" w:hAnsi="Times New Roman" w:cs="Times New Roman"/>
          <w:color w:val="000000"/>
          <w:sz w:val="24"/>
          <w:szCs w:val="24"/>
        </w:rPr>
        <w:t xml:space="preserve">akultet, niti u jednoj proračunskoj godini nisu osigurana potrebna sredstva </w:t>
      </w:r>
      <w:r w:rsidR="00CC6F20">
        <w:rPr>
          <w:rFonts w:ascii="Times New Roman" w:hAnsi="Times New Roman" w:cs="Times New Roman"/>
          <w:color w:val="000000"/>
          <w:sz w:val="24"/>
          <w:szCs w:val="24"/>
        </w:rPr>
        <w:t xml:space="preserve">(Lump Sum) </w:t>
      </w:r>
      <w:r w:rsidRPr="00927915">
        <w:rPr>
          <w:rFonts w:ascii="Times New Roman" w:hAnsi="Times New Roman" w:cs="Times New Roman"/>
          <w:color w:val="000000"/>
          <w:sz w:val="24"/>
          <w:szCs w:val="24"/>
        </w:rPr>
        <w:t>za  pokriće</w:t>
      </w:r>
      <w:r w:rsidR="00CC6F20">
        <w:rPr>
          <w:rFonts w:ascii="Times New Roman" w:hAnsi="Times New Roman" w:cs="Times New Roman"/>
          <w:color w:val="000000"/>
          <w:sz w:val="24"/>
          <w:szCs w:val="24"/>
        </w:rPr>
        <w:t xml:space="preserve"> svih</w:t>
      </w:r>
      <w:r w:rsidRPr="00927915">
        <w:rPr>
          <w:rFonts w:ascii="Times New Roman" w:hAnsi="Times New Roman" w:cs="Times New Roman"/>
          <w:color w:val="000000"/>
          <w:sz w:val="24"/>
          <w:szCs w:val="24"/>
        </w:rPr>
        <w:t xml:space="preserve"> materijalnih rashoda za na</w:t>
      </w:r>
      <w:r w:rsidR="00DF3911">
        <w:rPr>
          <w:rFonts w:ascii="Times New Roman" w:hAnsi="Times New Roman" w:cs="Times New Roman"/>
          <w:color w:val="000000"/>
          <w:sz w:val="24"/>
          <w:szCs w:val="24"/>
        </w:rPr>
        <w:t xml:space="preserve">stavnu djelatnost </w:t>
      </w:r>
      <w:r w:rsidR="00CC6F20">
        <w:rPr>
          <w:rFonts w:ascii="Times New Roman" w:hAnsi="Times New Roman" w:cs="Times New Roman"/>
          <w:color w:val="000000"/>
          <w:sz w:val="24"/>
          <w:szCs w:val="24"/>
        </w:rPr>
        <w:t>i režijskih troškova</w:t>
      </w:r>
      <w:r w:rsidR="00E81258" w:rsidRPr="00927915">
        <w:rPr>
          <w:rFonts w:ascii="Times New Roman" w:hAnsi="Times New Roman" w:cs="Times New Roman"/>
          <w:color w:val="000000"/>
          <w:sz w:val="24"/>
          <w:szCs w:val="24"/>
        </w:rPr>
        <w:t>.</w:t>
      </w:r>
    </w:p>
    <w:p w14:paraId="7E099496" w14:textId="293BC8CC" w:rsidR="00F522E3" w:rsidRPr="00927915" w:rsidRDefault="00F522E3" w:rsidP="00CA622B">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 xml:space="preserve">Važno je napomenuti da je edukacija studenata veterinarske medicine financijski najzahtjevnija u odnosu na programe drugih disciplina, jer uključuje kliničke i laboratorijske vježbe na </w:t>
      </w:r>
      <w:r w:rsidR="00BC4125">
        <w:rPr>
          <w:rFonts w:ascii="Times New Roman" w:hAnsi="Times New Roman" w:cs="Times New Roman"/>
          <w:sz w:val="24"/>
          <w:szCs w:val="24"/>
        </w:rPr>
        <w:t>Veterinarskom f</w:t>
      </w:r>
      <w:r w:rsidRPr="00927915">
        <w:rPr>
          <w:rFonts w:ascii="Times New Roman" w:hAnsi="Times New Roman" w:cs="Times New Roman"/>
          <w:sz w:val="24"/>
          <w:szCs w:val="24"/>
        </w:rPr>
        <w:t>akultetu te klinički rad na terenu uz podršku pomo</w:t>
      </w:r>
      <w:r w:rsidR="00DF3911">
        <w:rPr>
          <w:rFonts w:ascii="Times New Roman" w:hAnsi="Times New Roman" w:cs="Times New Roman"/>
          <w:sz w:val="24"/>
          <w:szCs w:val="24"/>
        </w:rPr>
        <w:t xml:space="preserve">ćnih službi. To nužno iziskuje </w:t>
      </w:r>
      <w:r w:rsidRPr="00927915">
        <w:rPr>
          <w:rFonts w:ascii="Times New Roman" w:hAnsi="Times New Roman" w:cs="Times New Roman"/>
          <w:sz w:val="24"/>
          <w:szCs w:val="24"/>
        </w:rPr>
        <w:t>veća financijska sredstva ča</w:t>
      </w:r>
      <w:r w:rsidR="00DF3911">
        <w:rPr>
          <w:rFonts w:ascii="Times New Roman" w:hAnsi="Times New Roman" w:cs="Times New Roman"/>
          <w:sz w:val="24"/>
          <w:szCs w:val="24"/>
        </w:rPr>
        <w:t xml:space="preserve">k i u odnosu na ostale studije </w:t>
      </w:r>
      <w:r w:rsidRPr="00927915">
        <w:rPr>
          <w:rFonts w:ascii="Times New Roman" w:hAnsi="Times New Roman" w:cs="Times New Roman"/>
          <w:sz w:val="24"/>
          <w:szCs w:val="24"/>
        </w:rPr>
        <w:t>biomedicinske grupacije.</w:t>
      </w:r>
    </w:p>
    <w:p w14:paraId="50963DCB" w14:textId="16D4B6BD" w:rsidR="00F522E3" w:rsidRPr="00927915" w:rsidRDefault="00F522E3" w:rsidP="00CA622B">
      <w:pPr>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Veterinarski fakultet u raspodjeli subvencija participacija u ak. 20</w:t>
      </w:r>
      <w:r w:rsidR="003F6B2A">
        <w:rPr>
          <w:rFonts w:ascii="Times New Roman" w:hAnsi="Times New Roman" w:cs="Times New Roman"/>
          <w:sz w:val="24"/>
          <w:szCs w:val="24"/>
        </w:rPr>
        <w:t>2</w:t>
      </w:r>
      <w:r w:rsidR="001251CE">
        <w:rPr>
          <w:rFonts w:ascii="Times New Roman" w:hAnsi="Times New Roman" w:cs="Times New Roman"/>
          <w:sz w:val="24"/>
          <w:szCs w:val="24"/>
        </w:rPr>
        <w:t>3</w:t>
      </w:r>
      <w:r w:rsidRPr="00927915">
        <w:rPr>
          <w:rFonts w:ascii="Times New Roman" w:hAnsi="Times New Roman" w:cs="Times New Roman"/>
          <w:sz w:val="24"/>
          <w:szCs w:val="24"/>
        </w:rPr>
        <w:t>./20</w:t>
      </w:r>
      <w:r w:rsidR="003F6B2A">
        <w:rPr>
          <w:rFonts w:ascii="Times New Roman" w:hAnsi="Times New Roman" w:cs="Times New Roman"/>
          <w:sz w:val="24"/>
          <w:szCs w:val="24"/>
        </w:rPr>
        <w:t>2</w:t>
      </w:r>
      <w:r w:rsidR="001251CE">
        <w:rPr>
          <w:rFonts w:ascii="Times New Roman" w:hAnsi="Times New Roman" w:cs="Times New Roman"/>
          <w:sz w:val="24"/>
          <w:szCs w:val="24"/>
        </w:rPr>
        <w:t>4</w:t>
      </w:r>
      <w:r w:rsidRPr="00927915">
        <w:rPr>
          <w:rFonts w:ascii="Times New Roman" w:hAnsi="Times New Roman" w:cs="Times New Roman"/>
          <w:sz w:val="24"/>
          <w:szCs w:val="24"/>
        </w:rPr>
        <w:t>. godini, unutar biomedicinskog p</w:t>
      </w:r>
      <w:r w:rsidR="00DF3911">
        <w:rPr>
          <w:rFonts w:ascii="Times New Roman" w:hAnsi="Times New Roman" w:cs="Times New Roman"/>
          <w:sz w:val="24"/>
          <w:szCs w:val="24"/>
        </w:rPr>
        <w:t xml:space="preserve">odručja zastupljen </w:t>
      </w:r>
      <w:r w:rsidR="00EB3F28">
        <w:rPr>
          <w:rFonts w:ascii="Times New Roman" w:hAnsi="Times New Roman" w:cs="Times New Roman"/>
          <w:sz w:val="24"/>
          <w:szCs w:val="24"/>
        </w:rPr>
        <w:t xml:space="preserve">je </w:t>
      </w:r>
      <w:r w:rsidR="00DF3911">
        <w:rPr>
          <w:rFonts w:ascii="Times New Roman" w:hAnsi="Times New Roman" w:cs="Times New Roman"/>
          <w:sz w:val="24"/>
          <w:szCs w:val="24"/>
        </w:rPr>
        <w:t>sa sve</w:t>
      </w:r>
      <w:r w:rsidR="003F6B2A">
        <w:rPr>
          <w:rFonts w:ascii="Times New Roman" w:hAnsi="Times New Roman" w:cs="Times New Roman"/>
          <w:sz w:val="24"/>
          <w:szCs w:val="24"/>
        </w:rPr>
        <w:t>ga 13,8</w:t>
      </w:r>
      <w:r w:rsidR="001251CE">
        <w:rPr>
          <w:rFonts w:ascii="Times New Roman" w:hAnsi="Times New Roman" w:cs="Times New Roman"/>
          <w:sz w:val="24"/>
          <w:szCs w:val="24"/>
        </w:rPr>
        <w:t>6</w:t>
      </w:r>
      <w:r w:rsidRPr="00927915">
        <w:rPr>
          <w:rFonts w:ascii="Times New Roman" w:hAnsi="Times New Roman" w:cs="Times New Roman"/>
          <w:sz w:val="24"/>
          <w:szCs w:val="24"/>
        </w:rPr>
        <w:t xml:space="preserve"> %,</w:t>
      </w:r>
      <w:r w:rsidR="00E81258" w:rsidRPr="00927915">
        <w:rPr>
          <w:rFonts w:ascii="Times New Roman" w:hAnsi="Times New Roman" w:cs="Times New Roman"/>
          <w:sz w:val="24"/>
          <w:szCs w:val="24"/>
        </w:rPr>
        <w:t xml:space="preserve"> što nije niti približno </w:t>
      </w:r>
      <w:r w:rsidR="00E7596F" w:rsidRPr="00927915">
        <w:rPr>
          <w:rFonts w:ascii="Times New Roman" w:hAnsi="Times New Roman" w:cs="Times New Roman"/>
          <w:sz w:val="24"/>
          <w:szCs w:val="24"/>
        </w:rPr>
        <w:t xml:space="preserve">dovoljno </w:t>
      </w:r>
      <w:r w:rsidR="00E7596F" w:rsidRPr="00927915">
        <w:rPr>
          <w:rFonts w:ascii="Times New Roman" w:hAnsi="Times New Roman" w:cs="Times New Roman"/>
          <w:sz w:val="24"/>
          <w:szCs w:val="24"/>
        </w:rPr>
        <w:lastRenderedPageBreak/>
        <w:t>sredstava za pokriće materijalnih troškova poslovanja,</w:t>
      </w:r>
      <w:r w:rsidRPr="00927915">
        <w:rPr>
          <w:rFonts w:ascii="Times New Roman" w:hAnsi="Times New Roman" w:cs="Times New Roman"/>
          <w:sz w:val="24"/>
          <w:szCs w:val="24"/>
        </w:rPr>
        <w:t xml:space="preserve"> imajući u vidu i da je ukupna kvadratura radnog prostora Veterinarskog fakulteta za održavanje nastave i kliničkih vježbi</w:t>
      </w:r>
      <w:r w:rsidR="00791550">
        <w:rPr>
          <w:rFonts w:ascii="Times New Roman" w:hAnsi="Times New Roman" w:cs="Times New Roman"/>
          <w:sz w:val="24"/>
          <w:szCs w:val="24"/>
        </w:rPr>
        <w:t xml:space="preserve"> na klinikama Fakulteta 25.000</w:t>
      </w:r>
      <w:r w:rsidR="00EB3F28">
        <w:rPr>
          <w:rFonts w:ascii="Times New Roman" w:hAnsi="Times New Roman" w:cs="Times New Roman"/>
          <w:sz w:val="24"/>
          <w:szCs w:val="24"/>
        </w:rPr>
        <w:t xml:space="preserve"> </w:t>
      </w:r>
      <w:r w:rsidR="00791550">
        <w:rPr>
          <w:rFonts w:ascii="Times New Roman" w:hAnsi="Times New Roman" w:cs="Times New Roman"/>
          <w:sz w:val="24"/>
          <w:szCs w:val="24"/>
        </w:rPr>
        <w:t>m²</w:t>
      </w:r>
      <w:r w:rsidRPr="00927915">
        <w:rPr>
          <w:rFonts w:ascii="Times New Roman" w:hAnsi="Times New Roman" w:cs="Times New Roman"/>
          <w:sz w:val="24"/>
          <w:szCs w:val="24"/>
        </w:rPr>
        <w:t>.</w:t>
      </w:r>
    </w:p>
    <w:p w14:paraId="2ECD85F7" w14:textId="77777777" w:rsidR="00F522E3" w:rsidRDefault="00F522E3" w:rsidP="00CA622B">
      <w:pPr>
        <w:spacing w:line="360" w:lineRule="auto"/>
        <w:jc w:val="both"/>
        <w:rPr>
          <w:rFonts w:ascii="Times New Roman" w:hAnsi="Times New Roman" w:cs="Times New Roman"/>
          <w:sz w:val="24"/>
          <w:szCs w:val="24"/>
          <w:lang w:val="pl-PL"/>
        </w:rPr>
      </w:pPr>
      <w:r w:rsidRPr="00927915">
        <w:rPr>
          <w:rFonts w:ascii="Times New Roman" w:hAnsi="Times New Roman" w:cs="Times New Roman"/>
          <w:sz w:val="24"/>
          <w:szCs w:val="24"/>
          <w:lang w:val="pl-PL"/>
        </w:rPr>
        <w:t>Financijski</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plan</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Veterinarskog</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fakulteta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Sveu</w:t>
      </w:r>
      <w:r w:rsidRPr="00927915">
        <w:rPr>
          <w:rFonts w:ascii="Times New Roman" w:hAnsi="Times New Roman" w:cs="Times New Roman"/>
          <w:sz w:val="24"/>
          <w:szCs w:val="24"/>
        </w:rPr>
        <w:t>č</w:t>
      </w:r>
      <w:r w:rsidRPr="00927915">
        <w:rPr>
          <w:rFonts w:ascii="Times New Roman" w:hAnsi="Times New Roman" w:cs="Times New Roman"/>
          <w:sz w:val="24"/>
          <w:szCs w:val="24"/>
          <w:lang w:val="pl-PL"/>
        </w:rPr>
        <w:t>ili</w:t>
      </w:r>
      <w:r w:rsidRPr="00927915">
        <w:rPr>
          <w:rFonts w:ascii="Times New Roman" w:hAnsi="Times New Roman" w:cs="Times New Roman"/>
          <w:sz w:val="24"/>
          <w:szCs w:val="24"/>
        </w:rPr>
        <w:t>š</w:t>
      </w:r>
      <w:r w:rsidRPr="00927915">
        <w:rPr>
          <w:rFonts w:ascii="Times New Roman" w:hAnsi="Times New Roman" w:cs="Times New Roman"/>
          <w:sz w:val="24"/>
          <w:szCs w:val="24"/>
          <w:lang w:val="pl-PL"/>
        </w:rPr>
        <w:t>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Zagrebu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narednom</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razdoblju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prilago</w:t>
      </w:r>
      <w:r w:rsidRPr="00927915">
        <w:rPr>
          <w:rFonts w:ascii="Times New Roman" w:hAnsi="Times New Roman" w:cs="Times New Roman"/>
          <w:sz w:val="24"/>
          <w:szCs w:val="24"/>
        </w:rPr>
        <w:t>đ</w:t>
      </w:r>
      <w:r w:rsidRPr="00927915">
        <w:rPr>
          <w:rFonts w:ascii="Times New Roman" w:hAnsi="Times New Roman" w:cs="Times New Roman"/>
          <w:sz w:val="24"/>
          <w:szCs w:val="24"/>
          <w:lang w:val="pl-PL"/>
        </w:rPr>
        <w:t>en</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je</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glavnom</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strate</w:t>
      </w:r>
      <w:r w:rsidRPr="00927915">
        <w:rPr>
          <w:rFonts w:ascii="Times New Roman" w:hAnsi="Times New Roman" w:cs="Times New Roman"/>
          <w:sz w:val="24"/>
          <w:szCs w:val="24"/>
        </w:rPr>
        <w:t>š</w:t>
      </w:r>
      <w:r w:rsidRPr="00927915">
        <w:rPr>
          <w:rFonts w:ascii="Times New Roman" w:hAnsi="Times New Roman" w:cs="Times New Roman"/>
          <w:sz w:val="24"/>
          <w:szCs w:val="24"/>
          <w:lang w:val="pl-PL"/>
        </w:rPr>
        <w:t>kom</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cilju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fakulteta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to</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je</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nastavak</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pobolj</w:t>
      </w:r>
      <w:r w:rsidRPr="00927915">
        <w:rPr>
          <w:rFonts w:ascii="Times New Roman" w:hAnsi="Times New Roman" w:cs="Times New Roman"/>
          <w:sz w:val="24"/>
          <w:szCs w:val="24"/>
        </w:rPr>
        <w:t>š</w:t>
      </w:r>
      <w:r w:rsidRPr="00927915">
        <w:rPr>
          <w:rFonts w:ascii="Times New Roman" w:hAnsi="Times New Roman" w:cs="Times New Roman"/>
          <w:sz w:val="24"/>
          <w:szCs w:val="24"/>
          <w:lang w:val="pl-PL"/>
        </w:rPr>
        <w:t>anja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uvjeta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studiranja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studenata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na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Fakultetu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u</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akreditiranim</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laboratorijima</w:t>
      </w:r>
      <w:r w:rsidRPr="00927915">
        <w:rPr>
          <w:rFonts w:ascii="Times New Roman" w:hAnsi="Times New Roman" w:cs="Times New Roman"/>
          <w:sz w:val="24"/>
          <w:szCs w:val="24"/>
        </w:rPr>
        <w:t xml:space="preserve"> </w:t>
      </w:r>
      <w:r w:rsidRPr="00927915">
        <w:rPr>
          <w:rFonts w:ascii="Times New Roman" w:hAnsi="Times New Roman" w:cs="Times New Roman"/>
          <w:sz w:val="24"/>
          <w:szCs w:val="24"/>
          <w:lang w:val="pl-PL"/>
        </w:rPr>
        <w:t>i</w:t>
      </w:r>
      <w:r w:rsidRPr="00927915">
        <w:rPr>
          <w:rFonts w:ascii="Times New Roman" w:hAnsi="Times New Roman" w:cs="Times New Roman"/>
          <w:sz w:val="24"/>
          <w:szCs w:val="24"/>
        </w:rPr>
        <w:t xml:space="preserve"> nabavkom suvremene opreme za edukaciju studenata na K</w:t>
      </w:r>
      <w:r w:rsidRPr="00927915">
        <w:rPr>
          <w:rFonts w:ascii="Times New Roman" w:hAnsi="Times New Roman" w:cs="Times New Roman"/>
          <w:sz w:val="24"/>
          <w:szCs w:val="24"/>
          <w:lang w:val="pl-PL"/>
        </w:rPr>
        <w:t>linikama.</w:t>
      </w:r>
    </w:p>
    <w:p w14:paraId="15802C89" w14:textId="77777777" w:rsidR="00EB3F28" w:rsidRPr="00927915" w:rsidRDefault="00EB3F28" w:rsidP="00CA622B">
      <w:pPr>
        <w:spacing w:line="360" w:lineRule="auto"/>
        <w:jc w:val="both"/>
        <w:rPr>
          <w:rFonts w:ascii="Times New Roman" w:hAnsi="Times New Roman" w:cs="Times New Roman"/>
          <w:sz w:val="24"/>
          <w:szCs w:val="24"/>
          <w:lang w:val="pl-PL"/>
        </w:rPr>
      </w:pPr>
    </w:p>
    <w:p w14:paraId="713953CA" w14:textId="77777777" w:rsidR="00ED704E" w:rsidRPr="00927915" w:rsidRDefault="00ED704E" w:rsidP="00ED704E">
      <w:pPr>
        <w:pBdr>
          <w:top w:val="dotted" w:sz="4" w:space="1" w:color="808080" w:themeColor="background1" w:themeShade="80"/>
          <w:bottom w:val="dotted" w:sz="4" w:space="1" w:color="808080" w:themeColor="background1" w:themeShade="80"/>
        </w:pBdr>
        <w:shd w:val="clear" w:color="auto" w:fill="D0CECE" w:themeFill="background2" w:themeFillShade="E6"/>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A621181 Pravomoćne sudske presude</w:t>
      </w:r>
    </w:p>
    <w:p w14:paraId="3F506C49" w14:textId="77777777" w:rsidR="00F522E3" w:rsidRPr="00927915" w:rsidRDefault="002C2F62" w:rsidP="00CA622B">
      <w:pPr>
        <w:spacing w:before="240" w:line="360" w:lineRule="auto"/>
        <w:jc w:val="both"/>
        <w:rPr>
          <w:rFonts w:ascii="Times New Roman" w:hAnsi="Times New Roman" w:cs="Times New Roman"/>
          <w:sz w:val="24"/>
          <w:szCs w:val="24"/>
        </w:rPr>
      </w:pPr>
      <w:r w:rsidRPr="00927915">
        <w:rPr>
          <w:rFonts w:ascii="Times New Roman" w:hAnsi="Times New Roman" w:cs="Times New Roman"/>
          <w:sz w:val="24"/>
          <w:szCs w:val="24"/>
        </w:rPr>
        <w:t xml:space="preserve">Za isplatu prema pravomoćnim sudskim presudama za tužbe zbog nepovećanja 6% </w:t>
      </w:r>
      <w:r w:rsidR="000F57EB">
        <w:rPr>
          <w:rFonts w:ascii="Times New Roman" w:hAnsi="Times New Roman" w:cs="Times New Roman"/>
          <w:sz w:val="24"/>
          <w:szCs w:val="24"/>
        </w:rPr>
        <w:t>osnovice za izračun plaća u 202</w:t>
      </w:r>
      <w:r w:rsidR="0034158A">
        <w:rPr>
          <w:rFonts w:ascii="Times New Roman" w:hAnsi="Times New Roman" w:cs="Times New Roman"/>
          <w:sz w:val="24"/>
          <w:szCs w:val="24"/>
        </w:rPr>
        <w:t>5</w:t>
      </w:r>
      <w:r w:rsidRPr="00927915">
        <w:rPr>
          <w:rFonts w:ascii="Times New Roman" w:hAnsi="Times New Roman" w:cs="Times New Roman"/>
          <w:sz w:val="24"/>
          <w:szCs w:val="24"/>
        </w:rPr>
        <w:t>. go</w:t>
      </w:r>
      <w:r w:rsidR="000F57EB">
        <w:rPr>
          <w:rFonts w:ascii="Times New Roman" w:hAnsi="Times New Roman" w:cs="Times New Roman"/>
          <w:sz w:val="24"/>
          <w:szCs w:val="24"/>
        </w:rPr>
        <w:t xml:space="preserve">dini planiran je iznos od </w:t>
      </w:r>
      <w:r w:rsidR="0034158A">
        <w:rPr>
          <w:rFonts w:ascii="Times New Roman" w:hAnsi="Times New Roman" w:cs="Times New Roman"/>
          <w:sz w:val="24"/>
          <w:szCs w:val="24"/>
        </w:rPr>
        <w:t>24.147</w:t>
      </w:r>
      <w:r w:rsidRPr="00927915">
        <w:rPr>
          <w:rFonts w:ascii="Times New Roman" w:hAnsi="Times New Roman" w:cs="Times New Roman"/>
          <w:sz w:val="24"/>
          <w:szCs w:val="24"/>
        </w:rPr>
        <w:t xml:space="preserve"> eura za troškove isplata razlika plaća i doprinosa, sudskih pristojbi i zateznih kamata.</w:t>
      </w:r>
    </w:p>
    <w:p w14:paraId="0B5708C3" w14:textId="77777777" w:rsidR="00846CD9" w:rsidRPr="00927915" w:rsidRDefault="00846CD9" w:rsidP="00CA622B">
      <w:pPr>
        <w:spacing w:after="0" w:line="360" w:lineRule="auto"/>
        <w:jc w:val="both"/>
        <w:rPr>
          <w:rFonts w:ascii="Times New Roman" w:hAnsi="Times New Roman" w:cs="Times New Roman"/>
          <w:sz w:val="24"/>
          <w:szCs w:val="24"/>
        </w:rPr>
      </w:pPr>
    </w:p>
    <w:p w14:paraId="24F7C4F5" w14:textId="77777777" w:rsidR="00846CD9" w:rsidRPr="00927915" w:rsidRDefault="00846CD9" w:rsidP="00CA622B">
      <w:pPr>
        <w:pBdr>
          <w:top w:val="dotted" w:sz="4" w:space="1" w:color="808080" w:themeColor="background1" w:themeShade="80"/>
          <w:bottom w:val="dotted" w:sz="4" w:space="1" w:color="808080" w:themeColor="background1" w:themeShade="80"/>
        </w:pBdr>
        <w:shd w:val="clear" w:color="auto" w:fill="D0CECE" w:themeFill="background2" w:themeFillShade="E6"/>
        <w:spacing w:line="360" w:lineRule="auto"/>
        <w:jc w:val="both"/>
        <w:rPr>
          <w:rFonts w:ascii="Times New Roman" w:hAnsi="Times New Roman" w:cs="Times New Roman"/>
          <w:sz w:val="24"/>
          <w:szCs w:val="24"/>
        </w:rPr>
      </w:pPr>
      <w:r w:rsidRPr="00927915">
        <w:rPr>
          <w:rFonts w:ascii="Times New Roman" w:hAnsi="Times New Roman" w:cs="Times New Roman"/>
          <w:sz w:val="24"/>
          <w:szCs w:val="24"/>
        </w:rPr>
        <w:t>A679088 Redovna djelatnost Sveučilišta u Zagrebu (iz evidencijskih prihoda)</w:t>
      </w:r>
    </w:p>
    <w:p w14:paraId="465ED94B" w14:textId="77777777" w:rsidR="00121947" w:rsidRDefault="00121947" w:rsidP="00CA622B">
      <w:pPr>
        <w:spacing w:after="0" w:line="360" w:lineRule="auto"/>
        <w:jc w:val="both"/>
        <w:rPr>
          <w:rFonts w:ascii="Times New Roman" w:hAnsi="Times New Roman" w:cs="Times New Roman"/>
          <w:sz w:val="24"/>
          <w:szCs w:val="24"/>
        </w:rPr>
      </w:pPr>
    </w:p>
    <w:p w14:paraId="504BB39C" w14:textId="34629E4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Zakonske i druge pravne osnove</w:t>
      </w:r>
    </w:p>
    <w:p w14:paraId="033641E4"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Zakon o znanstvenoj dje</w:t>
      </w:r>
      <w:r w:rsidR="000B3347" w:rsidRPr="00927915">
        <w:rPr>
          <w:rFonts w:ascii="Times New Roman" w:hAnsi="Times New Roman" w:cs="Times New Roman"/>
          <w:sz w:val="24"/>
          <w:szCs w:val="24"/>
        </w:rPr>
        <w:t xml:space="preserve">latnosti i visokom obrazovanju </w:t>
      </w:r>
    </w:p>
    <w:p w14:paraId="538A6F9D" w14:textId="347E108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Zakon </w:t>
      </w:r>
      <w:r w:rsidR="00623358">
        <w:rPr>
          <w:rFonts w:ascii="Times New Roman" w:hAnsi="Times New Roman" w:cs="Times New Roman"/>
          <w:sz w:val="24"/>
          <w:szCs w:val="24"/>
        </w:rPr>
        <w:t xml:space="preserve">i Pravilnik </w:t>
      </w:r>
      <w:r w:rsidRPr="00927915">
        <w:rPr>
          <w:rFonts w:ascii="Times New Roman" w:hAnsi="Times New Roman" w:cs="Times New Roman"/>
          <w:sz w:val="24"/>
          <w:szCs w:val="24"/>
        </w:rPr>
        <w:t>o Proračunu</w:t>
      </w:r>
    </w:p>
    <w:p w14:paraId="00E8C530"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Zakon o veterinarstvu </w:t>
      </w:r>
    </w:p>
    <w:p w14:paraId="7CE1832C"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Pravilnik o integriranom preddiplomskom i diplomskom studiju</w:t>
      </w:r>
    </w:p>
    <w:p w14:paraId="72722CCA"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Izmjene pravilnika o integriranom preddiplomskom i diplomskom studiju</w:t>
      </w:r>
    </w:p>
    <w:p w14:paraId="212D25DD"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Pravilnik o ustroju radnih mjesta</w:t>
      </w:r>
      <w:r w:rsidRPr="00927915">
        <w:rPr>
          <w:rFonts w:ascii="Times New Roman" w:hAnsi="Times New Roman" w:cs="Times New Roman"/>
          <w:sz w:val="24"/>
          <w:szCs w:val="24"/>
        </w:rPr>
        <w:tab/>
      </w:r>
    </w:p>
    <w:p w14:paraId="5C125917"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radu </w:t>
      </w:r>
    </w:p>
    <w:p w14:paraId="46F09DF9"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zaštiti na radu </w:t>
      </w:r>
    </w:p>
    <w:p w14:paraId="17E93266"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Strategija razvoja Veterinarskog fakulteta</w:t>
      </w:r>
      <w:r w:rsidR="004B1F92" w:rsidRPr="00927915">
        <w:rPr>
          <w:rFonts w:ascii="Times New Roman" w:hAnsi="Times New Roman" w:cs="Times New Roman"/>
          <w:sz w:val="24"/>
          <w:szCs w:val="24"/>
        </w:rPr>
        <w:t xml:space="preserve"> za razdoblje 2023. – 2027.</w:t>
      </w:r>
    </w:p>
    <w:p w14:paraId="683F3DD5"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Statut Veterinarskoga </w:t>
      </w:r>
      <w:r w:rsidR="004B1F92" w:rsidRPr="00927915">
        <w:rPr>
          <w:rFonts w:ascii="Times New Roman" w:hAnsi="Times New Roman" w:cs="Times New Roman"/>
          <w:sz w:val="24"/>
          <w:szCs w:val="24"/>
        </w:rPr>
        <w:t>fakulteta Sveučilišta u Zagrebu</w:t>
      </w:r>
      <w:r w:rsidRPr="00927915">
        <w:rPr>
          <w:rFonts w:ascii="Times New Roman" w:hAnsi="Times New Roman" w:cs="Times New Roman"/>
          <w:sz w:val="24"/>
          <w:szCs w:val="24"/>
        </w:rPr>
        <w:t xml:space="preserve"> </w:t>
      </w:r>
    </w:p>
    <w:p w14:paraId="5D33F8DB"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uvjetima i postupku izbora u zvanja i na odgovarajuća radna mjesta </w:t>
      </w:r>
    </w:p>
    <w:p w14:paraId="2DDED9A7"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Naputak o postupku izbora u zvanja i odgovarajuća radna mjesta </w:t>
      </w:r>
    </w:p>
    <w:p w14:paraId="5950AB51"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ustroju i radu znanstveno-nastavnog poligona Fakultetsko dobro Dugo Selo </w:t>
      </w:r>
    </w:p>
    <w:p w14:paraId="06C91F7E"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ustroju i radu lovno-nastavnog poligona Veterinarskog fakulteta </w:t>
      </w:r>
    </w:p>
    <w:p w14:paraId="6CC9C8D0"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unutarnjem ustroju veterinarskoga fakulteta </w:t>
      </w:r>
    </w:p>
    <w:p w14:paraId="1429BB91"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lastRenderedPageBreak/>
        <w:t>•</w:t>
      </w:r>
      <w:r w:rsidRPr="00927915">
        <w:rPr>
          <w:rFonts w:ascii="Times New Roman" w:hAnsi="Times New Roman" w:cs="Times New Roman"/>
          <w:sz w:val="24"/>
          <w:szCs w:val="24"/>
        </w:rPr>
        <w:tab/>
        <w:t>Pravilnik o sustavu osiguranja kvalitete na Veterinarskom fakultetu</w:t>
      </w:r>
    </w:p>
    <w:p w14:paraId="200D61A6"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Pravilnik o doktorskom studiju na Veterinarskom fakultetu u Zagrebu</w:t>
      </w:r>
    </w:p>
    <w:p w14:paraId="3C67EB15" w14:textId="77777777" w:rsidR="00CA622B" w:rsidRPr="00927915" w:rsidRDefault="00CA622B" w:rsidP="001C3538">
      <w:pPr>
        <w:spacing w:after="0" w:line="360" w:lineRule="auto"/>
        <w:ind w:left="705" w:hanging="705"/>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Pravilnik o poslijediplomskim specijalističkim studijima Veterinarskog fakulteta Sveučilišta u Zagrebu</w:t>
      </w:r>
    </w:p>
    <w:p w14:paraId="79B24CEE" w14:textId="77777777" w:rsidR="00CA622B"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 xml:space="preserve">Pravilnik o ambulantnoj klinici Veterinarskog fakulteta Sveučilišta u Zagrebu </w:t>
      </w:r>
    </w:p>
    <w:p w14:paraId="483E5187" w14:textId="77777777" w:rsidR="003B2CF0" w:rsidRPr="00927915" w:rsidRDefault="00CA622B" w:rsidP="00CA622B">
      <w:pPr>
        <w:spacing w:after="0" w:line="360" w:lineRule="auto"/>
        <w:jc w:val="both"/>
        <w:rPr>
          <w:rFonts w:ascii="Times New Roman" w:hAnsi="Times New Roman" w:cs="Times New Roman"/>
          <w:sz w:val="24"/>
          <w:szCs w:val="24"/>
        </w:rPr>
      </w:pPr>
      <w:r w:rsidRPr="00927915">
        <w:rPr>
          <w:rFonts w:ascii="Times New Roman" w:hAnsi="Times New Roman" w:cs="Times New Roman"/>
          <w:sz w:val="24"/>
          <w:szCs w:val="24"/>
        </w:rPr>
        <w:t>•</w:t>
      </w:r>
      <w:r w:rsidRPr="00927915">
        <w:rPr>
          <w:rFonts w:ascii="Times New Roman" w:hAnsi="Times New Roman" w:cs="Times New Roman"/>
          <w:sz w:val="24"/>
          <w:szCs w:val="24"/>
        </w:rPr>
        <w:tab/>
        <w:t>Pravilnik o sveučilišnoj nastavnoj literaturi i izdavačkoj djelatnosti</w:t>
      </w:r>
    </w:p>
    <w:p w14:paraId="20CA795B" w14:textId="77777777" w:rsidR="00214CD7" w:rsidRDefault="00214CD7" w:rsidP="00CA622B">
      <w:pPr>
        <w:spacing w:after="0" w:line="360" w:lineRule="auto"/>
        <w:jc w:val="both"/>
        <w:rPr>
          <w:rFonts w:ascii="Times New Roman" w:hAnsi="Times New Roman" w:cs="Times New Roman"/>
          <w:sz w:val="24"/>
          <w:szCs w:val="24"/>
        </w:rPr>
      </w:pPr>
    </w:p>
    <w:p w14:paraId="19CA86AE" w14:textId="73046E17" w:rsidR="00927915" w:rsidRDefault="00214CD7" w:rsidP="00CA622B">
      <w:pPr>
        <w:spacing w:after="0" w:line="360" w:lineRule="auto"/>
        <w:jc w:val="both"/>
        <w:rPr>
          <w:rFonts w:ascii="Times New Roman" w:hAnsi="Times New Roman" w:cs="Times New Roman"/>
          <w:sz w:val="24"/>
          <w:szCs w:val="24"/>
        </w:rPr>
      </w:pPr>
      <w:r w:rsidRPr="00214CD7">
        <w:rPr>
          <w:rFonts w:ascii="Times New Roman" w:hAnsi="Times New Roman" w:cs="Times New Roman"/>
          <w:sz w:val="24"/>
          <w:szCs w:val="24"/>
        </w:rPr>
        <w:t xml:space="preserve">Ova aktivnost provodi se svake godine iz izvora financiranja: 31, 43, 52, 61 i 71. Izvršenje rashoda s navedenih aktivnosti provodi se s računa </w:t>
      </w:r>
      <w:r>
        <w:rPr>
          <w:rFonts w:ascii="Times New Roman" w:hAnsi="Times New Roman" w:cs="Times New Roman"/>
          <w:sz w:val="24"/>
          <w:szCs w:val="24"/>
        </w:rPr>
        <w:t>Veterinarskog f</w:t>
      </w:r>
      <w:r w:rsidRPr="00214CD7">
        <w:rPr>
          <w:rFonts w:ascii="Times New Roman" w:hAnsi="Times New Roman" w:cs="Times New Roman"/>
          <w:sz w:val="24"/>
          <w:szCs w:val="24"/>
        </w:rPr>
        <w:t>akulteta, a evidencija u sustavu državne riznice o ostvarenju i trošenju vlastitih i namjenskih prihoda i primitaka provodi se na temelju mjesečnih izvještaja korisnika (evidencijski prihodi).</w:t>
      </w:r>
    </w:p>
    <w:p w14:paraId="5FD580A5" w14:textId="77777777" w:rsidR="00214CD7" w:rsidRPr="00927915" w:rsidRDefault="00214CD7" w:rsidP="00CA622B">
      <w:pPr>
        <w:spacing w:after="0" w:line="360" w:lineRule="auto"/>
        <w:jc w:val="both"/>
        <w:rPr>
          <w:rFonts w:ascii="Times New Roman" w:hAnsi="Times New Roman" w:cs="Times New Roman"/>
          <w:sz w:val="24"/>
          <w:szCs w:val="24"/>
        </w:rPr>
      </w:pPr>
    </w:p>
    <w:p w14:paraId="099D8480" w14:textId="77777777" w:rsidR="003F577B" w:rsidRPr="00927915" w:rsidRDefault="00927915" w:rsidP="00CA622B">
      <w:pPr>
        <w:spacing w:line="360" w:lineRule="auto"/>
        <w:ind w:left="720"/>
        <w:jc w:val="both"/>
        <w:rPr>
          <w:rFonts w:ascii="Times New Roman" w:hAnsi="Times New Roman" w:cs="Times New Roman"/>
          <w:sz w:val="24"/>
          <w:szCs w:val="24"/>
        </w:rPr>
      </w:pPr>
      <w:r w:rsidRPr="00927915">
        <w:rPr>
          <w:rFonts w:ascii="Times New Roman" w:hAnsi="Times New Roman" w:cs="Times New Roman"/>
          <w:sz w:val="24"/>
          <w:szCs w:val="24"/>
        </w:rPr>
        <w:t>1.1</w:t>
      </w:r>
      <w:r w:rsidR="003F577B" w:rsidRPr="00927915">
        <w:rPr>
          <w:rFonts w:ascii="Times New Roman" w:hAnsi="Times New Roman" w:cs="Times New Roman"/>
          <w:sz w:val="24"/>
          <w:szCs w:val="24"/>
        </w:rPr>
        <w:t>. Obrazloženje programa- Vlastiti prihodi:– prihodi od prodaje proizvoda i robe te pruženih usluga</w:t>
      </w:r>
      <w:r w:rsidRPr="00927915">
        <w:rPr>
          <w:rFonts w:ascii="Times New Roman" w:hAnsi="Times New Roman" w:cs="Times New Roman"/>
          <w:sz w:val="24"/>
          <w:szCs w:val="24"/>
        </w:rPr>
        <w:t xml:space="preserve"> – izvor 31</w:t>
      </w:r>
    </w:p>
    <w:tbl>
      <w:tblPr>
        <w:tblW w:w="8820" w:type="dxa"/>
        <w:tblLook w:val="04A0" w:firstRow="1" w:lastRow="0" w:firstColumn="1" w:lastColumn="0" w:noHBand="0" w:noVBand="1"/>
      </w:tblPr>
      <w:tblGrid>
        <w:gridCol w:w="1881"/>
        <w:gridCol w:w="1245"/>
        <w:gridCol w:w="1176"/>
        <w:gridCol w:w="1176"/>
        <w:gridCol w:w="1205"/>
        <w:gridCol w:w="1190"/>
        <w:gridCol w:w="947"/>
      </w:tblGrid>
      <w:tr w:rsidR="0034158A" w:rsidRPr="0034158A" w14:paraId="4A470E74" w14:textId="77777777" w:rsidTr="0034158A">
        <w:trPr>
          <w:trHeight w:val="450"/>
        </w:trPr>
        <w:tc>
          <w:tcPr>
            <w:tcW w:w="1881"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AF0DA51" w14:textId="77777777" w:rsidR="0034158A" w:rsidRPr="008F2030" w:rsidRDefault="0034158A" w:rsidP="0034158A">
            <w:pPr>
              <w:spacing w:after="0" w:line="240" w:lineRule="auto"/>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4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4F461FF"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E601DD3"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864E53F"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0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11BB6134"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19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C8CCE06"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947"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0C8969F" w14:textId="77777777" w:rsidR="0034158A" w:rsidRPr="008F2030" w:rsidRDefault="0034158A" w:rsidP="0034158A">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34158A" w:rsidRPr="0034158A" w14:paraId="7AF7F0EB" w14:textId="77777777" w:rsidTr="0034158A">
        <w:trPr>
          <w:trHeight w:val="450"/>
        </w:trPr>
        <w:tc>
          <w:tcPr>
            <w:tcW w:w="1881" w:type="dxa"/>
            <w:vMerge/>
            <w:tcBorders>
              <w:top w:val="single" w:sz="8" w:space="0" w:color="auto"/>
              <w:left w:val="single" w:sz="8" w:space="0" w:color="auto"/>
              <w:bottom w:val="single" w:sz="8" w:space="0" w:color="000000"/>
              <w:right w:val="single" w:sz="8" w:space="0" w:color="auto"/>
            </w:tcBorders>
            <w:vAlign w:val="center"/>
            <w:hideMark/>
          </w:tcPr>
          <w:p w14:paraId="230256ED"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1245" w:type="dxa"/>
            <w:vMerge/>
            <w:tcBorders>
              <w:top w:val="single" w:sz="8" w:space="0" w:color="auto"/>
              <w:left w:val="single" w:sz="8" w:space="0" w:color="auto"/>
              <w:bottom w:val="single" w:sz="8" w:space="0" w:color="000000"/>
              <w:right w:val="single" w:sz="8" w:space="0" w:color="auto"/>
            </w:tcBorders>
            <w:vAlign w:val="center"/>
            <w:hideMark/>
          </w:tcPr>
          <w:p w14:paraId="2BCD9352"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089986BC"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04D29AE4"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1205" w:type="dxa"/>
            <w:vMerge/>
            <w:tcBorders>
              <w:top w:val="single" w:sz="8" w:space="0" w:color="auto"/>
              <w:left w:val="single" w:sz="8" w:space="0" w:color="auto"/>
              <w:bottom w:val="single" w:sz="8" w:space="0" w:color="000000"/>
              <w:right w:val="single" w:sz="8" w:space="0" w:color="auto"/>
            </w:tcBorders>
            <w:vAlign w:val="center"/>
            <w:hideMark/>
          </w:tcPr>
          <w:p w14:paraId="1E8CBFF9"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18AD6E34"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c>
          <w:tcPr>
            <w:tcW w:w="947" w:type="dxa"/>
            <w:vMerge/>
            <w:tcBorders>
              <w:top w:val="single" w:sz="8" w:space="0" w:color="auto"/>
              <w:left w:val="single" w:sz="8" w:space="0" w:color="auto"/>
              <w:bottom w:val="single" w:sz="8" w:space="0" w:color="000000"/>
              <w:right w:val="single" w:sz="8" w:space="0" w:color="auto"/>
            </w:tcBorders>
            <w:vAlign w:val="center"/>
            <w:hideMark/>
          </w:tcPr>
          <w:p w14:paraId="506983F3"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p>
        </w:tc>
      </w:tr>
      <w:tr w:rsidR="0034158A" w:rsidRPr="0034158A" w14:paraId="3D75AD65" w14:textId="77777777" w:rsidTr="0034158A">
        <w:trPr>
          <w:trHeight w:val="315"/>
        </w:trPr>
        <w:tc>
          <w:tcPr>
            <w:tcW w:w="1881" w:type="dxa"/>
            <w:tcBorders>
              <w:top w:val="nil"/>
              <w:left w:val="single" w:sz="8" w:space="0" w:color="auto"/>
              <w:bottom w:val="nil"/>
              <w:right w:val="single" w:sz="8" w:space="0" w:color="auto"/>
            </w:tcBorders>
            <w:shd w:val="clear" w:color="auto" w:fill="auto"/>
            <w:vAlign w:val="center"/>
            <w:hideMark/>
          </w:tcPr>
          <w:p w14:paraId="14E259F0" w14:textId="77777777" w:rsidR="0034158A" w:rsidRPr="0034158A" w:rsidRDefault="0034158A" w:rsidP="0034158A">
            <w:pPr>
              <w:spacing w:after="0" w:line="240" w:lineRule="auto"/>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xml:space="preserve">A679088 </w:t>
            </w:r>
          </w:p>
        </w:tc>
        <w:tc>
          <w:tcPr>
            <w:tcW w:w="1245" w:type="dxa"/>
            <w:tcBorders>
              <w:top w:val="nil"/>
              <w:left w:val="nil"/>
              <w:bottom w:val="nil"/>
              <w:right w:val="single" w:sz="8" w:space="0" w:color="auto"/>
            </w:tcBorders>
            <w:shd w:val="clear" w:color="auto" w:fill="auto"/>
            <w:vAlign w:val="center"/>
            <w:hideMark/>
          </w:tcPr>
          <w:p w14:paraId="4AA11BB0"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1176" w:type="dxa"/>
            <w:tcBorders>
              <w:top w:val="nil"/>
              <w:left w:val="nil"/>
              <w:bottom w:val="nil"/>
              <w:right w:val="single" w:sz="8" w:space="0" w:color="auto"/>
            </w:tcBorders>
            <w:shd w:val="clear" w:color="auto" w:fill="auto"/>
            <w:vAlign w:val="center"/>
            <w:hideMark/>
          </w:tcPr>
          <w:p w14:paraId="21AFFE10"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1176" w:type="dxa"/>
            <w:tcBorders>
              <w:top w:val="nil"/>
              <w:left w:val="nil"/>
              <w:bottom w:val="nil"/>
              <w:right w:val="single" w:sz="8" w:space="0" w:color="auto"/>
            </w:tcBorders>
            <w:shd w:val="clear" w:color="auto" w:fill="auto"/>
            <w:vAlign w:val="center"/>
            <w:hideMark/>
          </w:tcPr>
          <w:p w14:paraId="77B27E75"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1205" w:type="dxa"/>
            <w:tcBorders>
              <w:top w:val="nil"/>
              <w:left w:val="nil"/>
              <w:bottom w:val="nil"/>
              <w:right w:val="single" w:sz="8" w:space="0" w:color="auto"/>
            </w:tcBorders>
            <w:shd w:val="clear" w:color="auto" w:fill="auto"/>
            <w:vAlign w:val="center"/>
            <w:hideMark/>
          </w:tcPr>
          <w:p w14:paraId="15AA35C2"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1190" w:type="dxa"/>
            <w:tcBorders>
              <w:top w:val="nil"/>
              <w:left w:val="nil"/>
              <w:bottom w:val="nil"/>
              <w:right w:val="single" w:sz="8" w:space="0" w:color="auto"/>
            </w:tcBorders>
            <w:shd w:val="clear" w:color="auto" w:fill="auto"/>
            <w:vAlign w:val="center"/>
            <w:hideMark/>
          </w:tcPr>
          <w:p w14:paraId="3DDD12A4"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947" w:type="dxa"/>
            <w:tcBorders>
              <w:top w:val="nil"/>
              <w:left w:val="nil"/>
              <w:bottom w:val="nil"/>
              <w:right w:val="single" w:sz="8" w:space="0" w:color="auto"/>
            </w:tcBorders>
            <w:shd w:val="clear" w:color="auto" w:fill="auto"/>
            <w:vAlign w:val="center"/>
            <w:hideMark/>
          </w:tcPr>
          <w:p w14:paraId="6520FC23" w14:textId="77777777" w:rsidR="0034158A" w:rsidRPr="0034158A" w:rsidRDefault="0034158A" w:rsidP="0034158A">
            <w:pPr>
              <w:spacing w:after="0" w:line="240" w:lineRule="auto"/>
              <w:jc w:val="right"/>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r>
      <w:tr w:rsidR="0034158A" w:rsidRPr="0034158A" w14:paraId="7A11DDBD" w14:textId="77777777" w:rsidTr="0034158A">
        <w:trPr>
          <w:trHeight w:val="330"/>
        </w:trPr>
        <w:tc>
          <w:tcPr>
            <w:tcW w:w="1881" w:type="dxa"/>
            <w:tcBorders>
              <w:top w:val="nil"/>
              <w:left w:val="single" w:sz="8" w:space="0" w:color="auto"/>
              <w:bottom w:val="single" w:sz="8" w:space="0" w:color="auto"/>
              <w:right w:val="single" w:sz="8" w:space="0" w:color="auto"/>
            </w:tcBorders>
            <w:shd w:val="clear" w:color="auto" w:fill="auto"/>
            <w:vAlign w:val="center"/>
            <w:hideMark/>
          </w:tcPr>
          <w:p w14:paraId="6689DDFF" w14:textId="77777777" w:rsidR="0034158A" w:rsidRPr="0034158A" w:rsidRDefault="0034158A" w:rsidP="0034158A">
            <w:pPr>
              <w:spacing w:after="0" w:line="240" w:lineRule="auto"/>
              <w:ind w:firstLineChars="500" w:firstLine="1200"/>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 </w:t>
            </w:r>
          </w:p>
        </w:tc>
        <w:tc>
          <w:tcPr>
            <w:tcW w:w="1245" w:type="dxa"/>
            <w:tcBorders>
              <w:top w:val="nil"/>
              <w:left w:val="nil"/>
              <w:bottom w:val="single" w:sz="8" w:space="0" w:color="auto"/>
              <w:right w:val="single" w:sz="8" w:space="0" w:color="auto"/>
            </w:tcBorders>
            <w:shd w:val="clear" w:color="auto" w:fill="auto"/>
            <w:vAlign w:val="center"/>
            <w:hideMark/>
          </w:tcPr>
          <w:p w14:paraId="52166577"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3.183.569</w:t>
            </w:r>
          </w:p>
        </w:tc>
        <w:tc>
          <w:tcPr>
            <w:tcW w:w="1176" w:type="dxa"/>
            <w:tcBorders>
              <w:top w:val="nil"/>
              <w:left w:val="nil"/>
              <w:bottom w:val="single" w:sz="8" w:space="0" w:color="auto"/>
              <w:right w:val="single" w:sz="8" w:space="0" w:color="auto"/>
            </w:tcBorders>
            <w:shd w:val="clear" w:color="auto" w:fill="auto"/>
            <w:vAlign w:val="center"/>
            <w:hideMark/>
          </w:tcPr>
          <w:p w14:paraId="403F5A4D"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2.947.273</w:t>
            </w:r>
          </w:p>
        </w:tc>
        <w:tc>
          <w:tcPr>
            <w:tcW w:w="1176" w:type="dxa"/>
            <w:tcBorders>
              <w:top w:val="nil"/>
              <w:left w:val="nil"/>
              <w:bottom w:val="single" w:sz="8" w:space="0" w:color="auto"/>
              <w:right w:val="single" w:sz="8" w:space="0" w:color="auto"/>
            </w:tcBorders>
            <w:shd w:val="clear" w:color="auto" w:fill="auto"/>
            <w:vAlign w:val="center"/>
            <w:hideMark/>
          </w:tcPr>
          <w:p w14:paraId="59780E2B"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3.247.490</w:t>
            </w:r>
          </w:p>
        </w:tc>
        <w:tc>
          <w:tcPr>
            <w:tcW w:w="1205" w:type="dxa"/>
            <w:tcBorders>
              <w:top w:val="nil"/>
              <w:left w:val="nil"/>
              <w:bottom w:val="single" w:sz="8" w:space="0" w:color="auto"/>
              <w:right w:val="single" w:sz="8" w:space="0" w:color="auto"/>
            </w:tcBorders>
            <w:shd w:val="clear" w:color="auto" w:fill="auto"/>
            <w:vAlign w:val="center"/>
            <w:hideMark/>
          </w:tcPr>
          <w:p w14:paraId="6DC46B6C"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3.376.338</w:t>
            </w:r>
          </w:p>
        </w:tc>
        <w:tc>
          <w:tcPr>
            <w:tcW w:w="1190" w:type="dxa"/>
            <w:tcBorders>
              <w:top w:val="nil"/>
              <w:left w:val="nil"/>
              <w:bottom w:val="single" w:sz="8" w:space="0" w:color="auto"/>
              <w:right w:val="single" w:sz="8" w:space="0" w:color="auto"/>
            </w:tcBorders>
            <w:shd w:val="clear" w:color="auto" w:fill="auto"/>
            <w:vAlign w:val="center"/>
            <w:hideMark/>
          </w:tcPr>
          <w:p w14:paraId="235A0C57" w14:textId="77777777" w:rsidR="0034158A" w:rsidRPr="0034158A" w:rsidRDefault="0034158A" w:rsidP="0034158A">
            <w:pPr>
              <w:spacing w:after="0" w:line="240" w:lineRule="auto"/>
              <w:jc w:val="both"/>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3.436.212</w:t>
            </w:r>
          </w:p>
        </w:tc>
        <w:tc>
          <w:tcPr>
            <w:tcW w:w="947" w:type="dxa"/>
            <w:tcBorders>
              <w:top w:val="nil"/>
              <w:left w:val="nil"/>
              <w:bottom w:val="single" w:sz="8" w:space="0" w:color="auto"/>
              <w:right w:val="single" w:sz="8" w:space="0" w:color="auto"/>
            </w:tcBorders>
            <w:shd w:val="clear" w:color="auto" w:fill="auto"/>
            <w:vAlign w:val="center"/>
            <w:hideMark/>
          </w:tcPr>
          <w:p w14:paraId="5098340E" w14:textId="77777777" w:rsidR="0034158A" w:rsidRPr="0034158A" w:rsidRDefault="0034158A" w:rsidP="0034158A">
            <w:pPr>
              <w:spacing w:after="0" w:line="240" w:lineRule="auto"/>
              <w:jc w:val="right"/>
              <w:rPr>
                <w:rFonts w:ascii="Times New Roman" w:eastAsia="Times New Roman" w:hAnsi="Times New Roman" w:cs="Times New Roman"/>
                <w:color w:val="000000"/>
                <w:sz w:val="24"/>
                <w:szCs w:val="24"/>
                <w:lang w:val="en-US"/>
              </w:rPr>
            </w:pPr>
            <w:r w:rsidRPr="0034158A">
              <w:rPr>
                <w:rFonts w:ascii="Times New Roman" w:eastAsia="Times New Roman" w:hAnsi="Times New Roman" w:cs="Times New Roman"/>
                <w:color w:val="000000"/>
                <w:sz w:val="24"/>
                <w:szCs w:val="24"/>
                <w:lang w:val="en-US"/>
              </w:rPr>
              <w:t>110,19</w:t>
            </w:r>
          </w:p>
        </w:tc>
      </w:tr>
    </w:tbl>
    <w:p w14:paraId="1A74A801" w14:textId="77777777" w:rsidR="003F577B" w:rsidRPr="00927915" w:rsidRDefault="003F577B" w:rsidP="00CA622B">
      <w:pPr>
        <w:spacing w:line="360" w:lineRule="auto"/>
        <w:ind w:left="720"/>
        <w:jc w:val="both"/>
        <w:rPr>
          <w:rFonts w:ascii="Times New Roman" w:hAnsi="Times New Roman" w:cs="Times New Roman"/>
          <w:sz w:val="24"/>
          <w:szCs w:val="24"/>
        </w:rPr>
      </w:pPr>
    </w:p>
    <w:p w14:paraId="085DEA16" w14:textId="77777777" w:rsidR="003F577B" w:rsidRDefault="003F577B" w:rsidP="00CA622B">
      <w:pPr>
        <w:spacing w:line="360" w:lineRule="auto"/>
        <w:jc w:val="both"/>
        <w:rPr>
          <w:rFonts w:ascii="Times New Roman" w:hAnsi="Times New Roman" w:cs="Times New Roman"/>
          <w:sz w:val="24"/>
          <w:szCs w:val="24"/>
          <w:lang w:val="pl-PL"/>
        </w:rPr>
      </w:pPr>
      <w:r w:rsidRPr="00927915">
        <w:rPr>
          <w:rFonts w:ascii="Times New Roman" w:hAnsi="Times New Roman" w:cs="Times New Roman"/>
          <w:sz w:val="24"/>
          <w:szCs w:val="24"/>
          <w:lang w:val="pl-PL"/>
        </w:rPr>
        <w:t>Istom strateškom cilju namjenjeni su i tzv. vlastiti prihodi fakulteta ostvareni na tržištu te su usmjereni kao dopunski izvor financir</w:t>
      </w:r>
      <w:r w:rsidR="00026F7E">
        <w:rPr>
          <w:rFonts w:ascii="Times New Roman" w:hAnsi="Times New Roman" w:cs="Times New Roman"/>
          <w:sz w:val="24"/>
          <w:szCs w:val="24"/>
          <w:lang w:val="pl-PL"/>
        </w:rPr>
        <w:t>anja proračunskim sredstvima. T</w:t>
      </w:r>
      <w:r w:rsidRPr="00927915">
        <w:rPr>
          <w:rFonts w:ascii="Times New Roman" w:hAnsi="Times New Roman" w:cs="Times New Roman"/>
          <w:sz w:val="24"/>
          <w:szCs w:val="24"/>
          <w:lang w:val="pl-PL"/>
        </w:rPr>
        <w:t xml:space="preserve">o je u suglasju s polaznim osnovama sustava financiranja unutar Sveučilišta te na tragu pronalaženja optimalne kombinacije udjela države i tržišta u ostvarivanju razvojnih ciljeva u visokom obrazovanju. </w:t>
      </w:r>
    </w:p>
    <w:p w14:paraId="3773CD87" w14:textId="66C48B83" w:rsidR="00214CD7" w:rsidRDefault="00BC4125" w:rsidP="00CA622B">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Veterinarski f</w:t>
      </w:r>
      <w:r w:rsidR="00214CD7" w:rsidRPr="00214CD7">
        <w:rPr>
          <w:rFonts w:ascii="Times New Roman" w:hAnsi="Times New Roman" w:cs="Times New Roman"/>
          <w:sz w:val="24"/>
          <w:szCs w:val="24"/>
          <w:lang w:val="pl-PL"/>
        </w:rPr>
        <w:t xml:space="preserve">akultet ostvaruje vlastite prihode od obavljanja poslova na tržištu: veterinarskih usluga, </w:t>
      </w:r>
      <w:r>
        <w:rPr>
          <w:rFonts w:ascii="Times New Roman" w:hAnsi="Times New Roman" w:cs="Times New Roman"/>
          <w:sz w:val="24"/>
          <w:szCs w:val="24"/>
          <w:lang w:val="pl-PL"/>
        </w:rPr>
        <w:t xml:space="preserve">stručne </w:t>
      </w:r>
      <w:r w:rsidR="00214CD7" w:rsidRPr="00214CD7">
        <w:rPr>
          <w:rFonts w:ascii="Times New Roman" w:hAnsi="Times New Roman" w:cs="Times New Roman"/>
          <w:sz w:val="24"/>
          <w:szCs w:val="24"/>
          <w:lang w:val="pl-PL"/>
        </w:rPr>
        <w:t>suradnje s privredom, izvođenja programa cjeloživotnog učenja, specijalističkih tečajeva, radionica i kongresa,, sudskih vještačenja, sponzorstava te iznajmljivanja prostora. Planirani prihodi se koriste za podmirivanje rashoda za zaposlene koji se ne financiraju iz Državnog proračuna, a zaposleni su radi povećanog obujma posla potrebnog za obavljanje djelatnosti, za pokrivanje materijalnih rashoda i financijskih rashoda.</w:t>
      </w:r>
    </w:p>
    <w:p w14:paraId="141CB1CE" w14:textId="2BDDE409" w:rsidR="00E66BA7" w:rsidRDefault="00E66BA7" w:rsidP="00CA622B">
      <w:pPr>
        <w:spacing w:line="360" w:lineRule="auto"/>
        <w:jc w:val="both"/>
        <w:rPr>
          <w:rFonts w:ascii="Times New Roman" w:hAnsi="Times New Roman" w:cs="Times New Roman"/>
          <w:sz w:val="24"/>
          <w:szCs w:val="24"/>
          <w:lang w:val="pl-PL"/>
        </w:rPr>
      </w:pPr>
    </w:p>
    <w:p w14:paraId="7A81E995" w14:textId="77777777" w:rsidR="00E66BA7" w:rsidRPr="00927915" w:rsidRDefault="00E66BA7" w:rsidP="00CA622B">
      <w:pPr>
        <w:spacing w:line="360" w:lineRule="auto"/>
        <w:jc w:val="both"/>
        <w:rPr>
          <w:rFonts w:ascii="Times New Roman" w:hAnsi="Times New Roman" w:cs="Times New Roman"/>
          <w:sz w:val="24"/>
          <w:szCs w:val="24"/>
          <w:lang w:val="pl-PL"/>
        </w:rPr>
      </w:pPr>
    </w:p>
    <w:p w14:paraId="6253BAD0" w14:textId="77777777" w:rsidR="00721F13" w:rsidRPr="007D0622" w:rsidRDefault="00721F13" w:rsidP="00CA622B">
      <w:pPr>
        <w:spacing w:before="100" w:beforeAutospacing="1" w:after="100" w:afterAutospacing="1" w:line="360" w:lineRule="auto"/>
        <w:rPr>
          <w:rFonts w:ascii="Times New Roman" w:hAnsi="Times New Roman" w:cs="Times New Roman"/>
          <w:i/>
          <w:color w:val="000000"/>
          <w:sz w:val="24"/>
          <w:szCs w:val="24"/>
        </w:rPr>
      </w:pPr>
      <w:r w:rsidRPr="007D0622">
        <w:rPr>
          <w:rFonts w:ascii="Times New Roman" w:hAnsi="Times New Roman" w:cs="Times New Roman"/>
          <w:i/>
          <w:sz w:val="24"/>
          <w:szCs w:val="24"/>
        </w:rPr>
        <w:lastRenderedPageBreak/>
        <w:t>Ishodište i pokazatelji na kojima se zasnivaju izračuni – Vlastiti prihodi</w:t>
      </w:r>
    </w:p>
    <w:p w14:paraId="4132ACD5" w14:textId="509CFE5B" w:rsidR="00721F13" w:rsidRPr="007D0622" w:rsidRDefault="00721F13" w:rsidP="00CA622B">
      <w:pPr>
        <w:spacing w:before="100" w:beforeAutospacing="1" w:after="100" w:afterAutospacing="1" w:line="360" w:lineRule="auto"/>
        <w:jc w:val="both"/>
        <w:rPr>
          <w:rFonts w:ascii="Times New Roman" w:hAnsi="Times New Roman" w:cs="Times New Roman"/>
          <w:i/>
          <w:color w:val="000000"/>
          <w:sz w:val="24"/>
          <w:szCs w:val="24"/>
        </w:rPr>
      </w:pPr>
      <w:r w:rsidRPr="007D0622">
        <w:rPr>
          <w:rFonts w:ascii="Times New Roman" w:hAnsi="Times New Roman" w:cs="Times New Roman"/>
          <w:i/>
          <w:color w:val="000000"/>
          <w:sz w:val="24"/>
          <w:szCs w:val="24"/>
        </w:rPr>
        <w:t>Vlastiti prihodi za 20</w:t>
      </w:r>
      <w:r w:rsidR="00B86C28">
        <w:rPr>
          <w:rFonts w:ascii="Times New Roman" w:hAnsi="Times New Roman" w:cs="Times New Roman"/>
          <w:i/>
          <w:color w:val="000000"/>
          <w:sz w:val="24"/>
          <w:szCs w:val="24"/>
        </w:rPr>
        <w:t>2</w:t>
      </w:r>
      <w:r w:rsidR="0034158A">
        <w:rPr>
          <w:rFonts w:ascii="Times New Roman" w:hAnsi="Times New Roman" w:cs="Times New Roman"/>
          <w:i/>
          <w:color w:val="000000"/>
          <w:sz w:val="24"/>
          <w:szCs w:val="24"/>
        </w:rPr>
        <w:t>5</w:t>
      </w:r>
      <w:r w:rsidR="003C2B28" w:rsidRPr="007D0622">
        <w:rPr>
          <w:rFonts w:ascii="Times New Roman" w:hAnsi="Times New Roman" w:cs="Times New Roman"/>
          <w:i/>
          <w:color w:val="000000"/>
          <w:sz w:val="24"/>
          <w:szCs w:val="24"/>
        </w:rPr>
        <w:t>.</w:t>
      </w:r>
      <w:r w:rsidR="00B86C28">
        <w:rPr>
          <w:rFonts w:ascii="Times New Roman" w:hAnsi="Times New Roman" w:cs="Times New Roman"/>
          <w:i/>
          <w:color w:val="000000"/>
          <w:sz w:val="24"/>
          <w:szCs w:val="24"/>
        </w:rPr>
        <w:t xml:space="preserve"> godinu  u iznosu od </w:t>
      </w:r>
      <w:r w:rsidR="0034158A">
        <w:rPr>
          <w:rFonts w:ascii="Times New Roman" w:hAnsi="Times New Roman" w:cs="Times New Roman"/>
          <w:i/>
          <w:color w:val="000000"/>
          <w:sz w:val="24"/>
          <w:szCs w:val="24"/>
        </w:rPr>
        <w:t>3.247.490</w:t>
      </w:r>
      <w:r w:rsidR="000F275B" w:rsidRPr="007D0622">
        <w:rPr>
          <w:rFonts w:ascii="Times New Roman" w:hAnsi="Times New Roman" w:cs="Times New Roman"/>
          <w:i/>
          <w:color w:val="000000"/>
          <w:sz w:val="24"/>
          <w:szCs w:val="24"/>
        </w:rPr>
        <w:t xml:space="preserve"> eura</w:t>
      </w:r>
      <w:r w:rsidRPr="007D0622">
        <w:rPr>
          <w:rFonts w:ascii="Times New Roman" w:hAnsi="Times New Roman" w:cs="Times New Roman"/>
          <w:i/>
          <w:color w:val="000000"/>
          <w:sz w:val="24"/>
          <w:szCs w:val="24"/>
        </w:rPr>
        <w:t xml:space="preserve"> planirani prema procjeni broja pacijenata prethodne godine</w:t>
      </w:r>
      <w:r w:rsidR="003549D3">
        <w:rPr>
          <w:rFonts w:ascii="Times New Roman" w:hAnsi="Times New Roman" w:cs="Times New Roman"/>
          <w:i/>
          <w:color w:val="000000"/>
          <w:sz w:val="24"/>
          <w:szCs w:val="24"/>
        </w:rPr>
        <w:t xml:space="preserve">, broju polaznika tečajeva i radionica </w:t>
      </w:r>
      <w:r w:rsidRPr="007D0622">
        <w:rPr>
          <w:rFonts w:ascii="Times New Roman" w:hAnsi="Times New Roman" w:cs="Times New Roman"/>
          <w:i/>
          <w:color w:val="000000"/>
          <w:sz w:val="24"/>
          <w:szCs w:val="24"/>
        </w:rPr>
        <w:t xml:space="preserve"> kao i ugovornim obvezama </w:t>
      </w:r>
      <w:r w:rsidR="003549D3">
        <w:rPr>
          <w:rFonts w:ascii="Times New Roman" w:hAnsi="Times New Roman" w:cs="Times New Roman"/>
          <w:i/>
          <w:color w:val="000000"/>
          <w:sz w:val="24"/>
          <w:szCs w:val="24"/>
        </w:rPr>
        <w:t xml:space="preserve">stručne suradnje s </w:t>
      </w:r>
      <w:r w:rsidRPr="007D0622">
        <w:rPr>
          <w:rFonts w:ascii="Times New Roman" w:hAnsi="Times New Roman" w:cs="Times New Roman"/>
          <w:i/>
          <w:color w:val="000000"/>
          <w:sz w:val="24"/>
          <w:szCs w:val="24"/>
        </w:rPr>
        <w:t>privredom</w:t>
      </w:r>
      <w:r w:rsidR="000F275B" w:rsidRPr="007D0622">
        <w:rPr>
          <w:rFonts w:ascii="Times New Roman" w:hAnsi="Times New Roman" w:cs="Times New Roman"/>
          <w:i/>
          <w:color w:val="000000"/>
          <w:sz w:val="24"/>
          <w:szCs w:val="24"/>
        </w:rPr>
        <w:t>,</w:t>
      </w:r>
      <w:r w:rsidRPr="007D0622">
        <w:rPr>
          <w:rFonts w:ascii="Times New Roman" w:hAnsi="Times New Roman" w:cs="Times New Roman"/>
          <w:i/>
          <w:color w:val="000000"/>
          <w:sz w:val="24"/>
          <w:szCs w:val="24"/>
        </w:rPr>
        <w:t xml:space="preserve"> a sukladno potpisanim ugovorima na bazi vrsta i količina roba i usluga.</w:t>
      </w:r>
    </w:p>
    <w:p w14:paraId="501D371A" w14:textId="77777777" w:rsidR="003F577B" w:rsidRPr="00927915" w:rsidRDefault="003F577B" w:rsidP="00CA622B">
      <w:pPr>
        <w:spacing w:after="0" w:line="360" w:lineRule="auto"/>
        <w:jc w:val="both"/>
        <w:rPr>
          <w:rFonts w:ascii="Times New Roman" w:hAnsi="Times New Roman" w:cs="Times New Roman"/>
          <w:sz w:val="24"/>
          <w:szCs w:val="24"/>
        </w:rPr>
      </w:pPr>
    </w:p>
    <w:p w14:paraId="0BD7C47A" w14:textId="77777777" w:rsidR="009024AF" w:rsidRPr="00927915" w:rsidRDefault="00927915" w:rsidP="00CA622B">
      <w:pPr>
        <w:spacing w:line="360" w:lineRule="auto"/>
        <w:ind w:left="720"/>
        <w:jc w:val="both"/>
        <w:rPr>
          <w:rFonts w:ascii="Times New Roman" w:hAnsi="Times New Roman" w:cs="Times New Roman"/>
          <w:sz w:val="24"/>
          <w:szCs w:val="24"/>
        </w:rPr>
      </w:pPr>
      <w:bookmarkStart w:id="1" w:name="_Hlk54002183"/>
      <w:r w:rsidRPr="00927915">
        <w:rPr>
          <w:rFonts w:ascii="Times New Roman" w:hAnsi="Times New Roman" w:cs="Times New Roman"/>
          <w:sz w:val="24"/>
          <w:szCs w:val="24"/>
        </w:rPr>
        <w:t>1.2</w:t>
      </w:r>
      <w:r w:rsidR="009024AF" w:rsidRPr="00927915">
        <w:rPr>
          <w:rFonts w:ascii="Times New Roman" w:hAnsi="Times New Roman" w:cs="Times New Roman"/>
          <w:sz w:val="24"/>
          <w:szCs w:val="24"/>
        </w:rPr>
        <w:t>. Obrazloženje programa- Prihodi za posebne namjene:</w:t>
      </w:r>
      <w:bookmarkEnd w:id="1"/>
      <w:r w:rsidR="00A02624" w:rsidRPr="00927915">
        <w:rPr>
          <w:rFonts w:ascii="Times New Roman" w:hAnsi="Times New Roman" w:cs="Times New Roman"/>
          <w:sz w:val="24"/>
          <w:szCs w:val="24"/>
        </w:rPr>
        <w:t xml:space="preserve"> </w:t>
      </w:r>
      <w:r w:rsidR="009024AF" w:rsidRPr="00927915">
        <w:rPr>
          <w:rFonts w:ascii="Times New Roman" w:hAnsi="Times New Roman" w:cs="Times New Roman"/>
          <w:sz w:val="24"/>
          <w:szCs w:val="24"/>
        </w:rPr>
        <w:t xml:space="preserve">prihodi od sufinanciranja </w:t>
      </w:r>
      <w:r w:rsidR="00A02624" w:rsidRPr="00927915">
        <w:rPr>
          <w:rFonts w:ascii="Times New Roman" w:hAnsi="Times New Roman" w:cs="Times New Roman"/>
          <w:sz w:val="24"/>
          <w:szCs w:val="24"/>
        </w:rPr>
        <w:t xml:space="preserve">cijene participacije školarina </w:t>
      </w:r>
      <w:r w:rsidRPr="00927915">
        <w:rPr>
          <w:rFonts w:ascii="Times New Roman" w:hAnsi="Times New Roman" w:cs="Times New Roman"/>
          <w:sz w:val="24"/>
          <w:szCs w:val="24"/>
        </w:rPr>
        <w:t xml:space="preserve"> - izvor 43</w:t>
      </w:r>
    </w:p>
    <w:tbl>
      <w:tblPr>
        <w:tblW w:w="8820" w:type="dxa"/>
        <w:tblLook w:val="04A0" w:firstRow="1" w:lastRow="0" w:firstColumn="1" w:lastColumn="0" w:noHBand="0" w:noVBand="1"/>
      </w:tblPr>
      <w:tblGrid>
        <w:gridCol w:w="1881"/>
        <w:gridCol w:w="1245"/>
        <w:gridCol w:w="1176"/>
        <w:gridCol w:w="1176"/>
        <w:gridCol w:w="1205"/>
        <w:gridCol w:w="1190"/>
        <w:gridCol w:w="947"/>
      </w:tblGrid>
      <w:tr w:rsidR="005B7137" w:rsidRPr="005B7137" w14:paraId="3A05DBD2" w14:textId="77777777" w:rsidTr="005B7137">
        <w:trPr>
          <w:trHeight w:val="450"/>
        </w:trPr>
        <w:tc>
          <w:tcPr>
            <w:tcW w:w="1881"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F99429A" w14:textId="77777777" w:rsidR="005B7137" w:rsidRPr="008F2030" w:rsidRDefault="005B7137" w:rsidP="005B7137">
            <w:pPr>
              <w:spacing w:after="0" w:line="240" w:lineRule="auto"/>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4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59CF652"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1A282AD"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17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627C0D59"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0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C18FBC1"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19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57EEE95"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947"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193B14F" w14:textId="77777777" w:rsidR="005B7137" w:rsidRPr="008F2030" w:rsidRDefault="005B7137" w:rsidP="005B7137">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5B7137" w:rsidRPr="005B7137" w14:paraId="0169B732" w14:textId="77777777" w:rsidTr="005B7137">
        <w:trPr>
          <w:trHeight w:val="450"/>
        </w:trPr>
        <w:tc>
          <w:tcPr>
            <w:tcW w:w="1881" w:type="dxa"/>
            <w:vMerge/>
            <w:tcBorders>
              <w:top w:val="single" w:sz="8" w:space="0" w:color="auto"/>
              <w:left w:val="single" w:sz="8" w:space="0" w:color="auto"/>
              <w:bottom w:val="single" w:sz="8" w:space="0" w:color="000000"/>
              <w:right w:val="single" w:sz="8" w:space="0" w:color="auto"/>
            </w:tcBorders>
            <w:vAlign w:val="center"/>
            <w:hideMark/>
          </w:tcPr>
          <w:p w14:paraId="0DCEE301"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1245" w:type="dxa"/>
            <w:vMerge/>
            <w:tcBorders>
              <w:top w:val="single" w:sz="8" w:space="0" w:color="auto"/>
              <w:left w:val="single" w:sz="8" w:space="0" w:color="auto"/>
              <w:bottom w:val="single" w:sz="8" w:space="0" w:color="000000"/>
              <w:right w:val="single" w:sz="8" w:space="0" w:color="auto"/>
            </w:tcBorders>
            <w:vAlign w:val="center"/>
            <w:hideMark/>
          </w:tcPr>
          <w:p w14:paraId="54E75D6D"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4AF8040D"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1176" w:type="dxa"/>
            <w:vMerge/>
            <w:tcBorders>
              <w:top w:val="single" w:sz="8" w:space="0" w:color="auto"/>
              <w:left w:val="single" w:sz="8" w:space="0" w:color="auto"/>
              <w:bottom w:val="single" w:sz="8" w:space="0" w:color="000000"/>
              <w:right w:val="single" w:sz="8" w:space="0" w:color="auto"/>
            </w:tcBorders>
            <w:vAlign w:val="center"/>
            <w:hideMark/>
          </w:tcPr>
          <w:p w14:paraId="27C03E51"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1205" w:type="dxa"/>
            <w:vMerge/>
            <w:tcBorders>
              <w:top w:val="single" w:sz="8" w:space="0" w:color="auto"/>
              <w:left w:val="single" w:sz="8" w:space="0" w:color="auto"/>
              <w:bottom w:val="single" w:sz="8" w:space="0" w:color="000000"/>
              <w:right w:val="single" w:sz="8" w:space="0" w:color="auto"/>
            </w:tcBorders>
            <w:vAlign w:val="center"/>
            <w:hideMark/>
          </w:tcPr>
          <w:p w14:paraId="152369DE"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0AA12538"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c>
          <w:tcPr>
            <w:tcW w:w="947" w:type="dxa"/>
            <w:vMerge/>
            <w:tcBorders>
              <w:top w:val="single" w:sz="8" w:space="0" w:color="auto"/>
              <w:left w:val="single" w:sz="8" w:space="0" w:color="auto"/>
              <w:bottom w:val="single" w:sz="8" w:space="0" w:color="000000"/>
              <w:right w:val="single" w:sz="8" w:space="0" w:color="auto"/>
            </w:tcBorders>
            <w:vAlign w:val="center"/>
            <w:hideMark/>
          </w:tcPr>
          <w:p w14:paraId="631D9854"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p>
        </w:tc>
      </w:tr>
      <w:tr w:rsidR="005B7137" w:rsidRPr="005B7137" w14:paraId="27BDC6B8" w14:textId="77777777" w:rsidTr="005B7137">
        <w:trPr>
          <w:trHeight w:val="315"/>
        </w:trPr>
        <w:tc>
          <w:tcPr>
            <w:tcW w:w="1881" w:type="dxa"/>
            <w:tcBorders>
              <w:top w:val="nil"/>
              <w:left w:val="single" w:sz="8" w:space="0" w:color="auto"/>
              <w:bottom w:val="nil"/>
              <w:right w:val="single" w:sz="8" w:space="0" w:color="auto"/>
            </w:tcBorders>
            <w:shd w:val="clear" w:color="auto" w:fill="auto"/>
            <w:vAlign w:val="center"/>
            <w:hideMark/>
          </w:tcPr>
          <w:p w14:paraId="4FA5A320" w14:textId="77777777" w:rsidR="005B7137" w:rsidRPr="005B7137" w:rsidRDefault="005B7137" w:rsidP="005B7137">
            <w:pPr>
              <w:spacing w:after="0" w:line="240" w:lineRule="auto"/>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xml:space="preserve">A679088  </w:t>
            </w:r>
          </w:p>
        </w:tc>
        <w:tc>
          <w:tcPr>
            <w:tcW w:w="1245" w:type="dxa"/>
            <w:tcBorders>
              <w:top w:val="nil"/>
              <w:left w:val="nil"/>
              <w:bottom w:val="nil"/>
              <w:right w:val="single" w:sz="8" w:space="0" w:color="auto"/>
            </w:tcBorders>
            <w:shd w:val="clear" w:color="auto" w:fill="auto"/>
            <w:vAlign w:val="center"/>
            <w:hideMark/>
          </w:tcPr>
          <w:p w14:paraId="206FD1AE"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1176" w:type="dxa"/>
            <w:tcBorders>
              <w:top w:val="nil"/>
              <w:left w:val="nil"/>
              <w:bottom w:val="nil"/>
              <w:right w:val="single" w:sz="8" w:space="0" w:color="auto"/>
            </w:tcBorders>
            <w:shd w:val="clear" w:color="auto" w:fill="auto"/>
            <w:vAlign w:val="center"/>
            <w:hideMark/>
          </w:tcPr>
          <w:p w14:paraId="7CCBB0FC"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1176" w:type="dxa"/>
            <w:tcBorders>
              <w:top w:val="nil"/>
              <w:left w:val="nil"/>
              <w:bottom w:val="nil"/>
              <w:right w:val="single" w:sz="8" w:space="0" w:color="auto"/>
            </w:tcBorders>
            <w:shd w:val="clear" w:color="auto" w:fill="auto"/>
            <w:vAlign w:val="center"/>
            <w:hideMark/>
          </w:tcPr>
          <w:p w14:paraId="2D51BD44"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1205" w:type="dxa"/>
            <w:tcBorders>
              <w:top w:val="nil"/>
              <w:left w:val="nil"/>
              <w:bottom w:val="nil"/>
              <w:right w:val="single" w:sz="8" w:space="0" w:color="auto"/>
            </w:tcBorders>
            <w:shd w:val="clear" w:color="auto" w:fill="auto"/>
            <w:vAlign w:val="center"/>
            <w:hideMark/>
          </w:tcPr>
          <w:p w14:paraId="33D6AE26"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1190" w:type="dxa"/>
            <w:tcBorders>
              <w:top w:val="nil"/>
              <w:left w:val="nil"/>
              <w:bottom w:val="nil"/>
              <w:right w:val="single" w:sz="8" w:space="0" w:color="auto"/>
            </w:tcBorders>
            <w:shd w:val="clear" w:color="auto" w:fill="auto"/>
            <w:vAlign w:val="center"/>
            <w:hideMark/>
          </w:tcPr>
          <w:p w14:paraId="4DE3B67B"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947" w:type="dxa"/>
            <w:tcBorders>
              <w:top w:val="nil"/>
              <w:left w:val="nil"/>
              <w:bottom w:val="nil"/>
              <w:right w:val="single" w:sz="8" w:space="0" w:color="auto"/>
            </w:tcBorders>
            <w:shd w:val="clear" w:color="auto" w:fill="auto"/>
            <w:vAlign w:val="center"/>
            <w:hideMark/>
          </w:tcPr>
          <w:p w14:paraId="33DC5BE2" w14:textId="77777777" w:rsidR="005B7137" w:rsidRPr="005B7137" w:rsidRDefault="005B7137" w:rsidP="005B7137">
            <w:pPr>
              <w:spacing w:after="0" w:line="240" w:lineRule="auto"/>
              <w:jc w:val="right"/>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r>
      <w:tr w:rsidR="005B7137" w:rsidRPr="005B7137" w14:paraId="22935FF8" w14:textId="77777777" w:rsidTr="005B7137">
        <w:trPr>
          <w:trHeight w:val="330"/>
        </w:trPr>
        <w:tc>
          <w:tcPr>
            <w:tcW w:w="1881" w:type="dxa"/>
            <w:tcBorders>
              <w:top w:val="nil"/>
              <w:left w:val="single" w:sz="8" w:space="0" w:color="auto"/>
              <w:bottom w:val="single" w:sz="8" w:space="0" w:color="auto"/>
              <w:right w:val="single" w:sz="8" w:space="0" w:color="auto"/>
            </w:tcBorders>
            <w:shd w:val="clear" w:color="auto" w:fill="auto"/>
            <w:vAlign w:val="center"/>
            <w:hideMark/>
          </w:tcPr>
          <w:p w14:paraId="367D3D9D" w14:textId="77777777" w:rsidR="005B7137" w:rsidRPr="005B7137" w:rsidRDefault="005B7137" w:rsidP="005B7137">
            <w:pPr>
              <w:spacing w:after="0" w:line="240" w:lineRule="auto"/>
              <w:ind w:firstLineChars="500" w:firstLine="1200"/>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 </w:t>
            </w:r>
          </w:p>
        </w:tc>
        <w:tc>
          <w:tcPr>
            <w:tcW w:w="1245" w:type="dxa"/>
            <w:tcBorders>
              <w:top w:val="nil"/>
              <w:left w:val="nil"/>
              <w:bottom w:val="single" w:sz="8" w:space="0" w:color="auto"/>
              <w:right w:val="single" w:sz="8" w:space="0" w:color="auto"/>
            </w:tcBorders>
            <w:shd w:val="clear" w:color="auto" w:fill="auto"/>
            <w:vAlign w:val="center"/>
            <w:hideMark/>
          </w:tcPr>
          <w:p w14:paraId="7DB16F6C"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2.060.229</w:t>
            </w:r>
          </w:p>
        </w:tc>
        <w:tc>
          <w:tcPr>
            <w:tcW w:w="1176" w:type="dxa"/>
            <w:tcBorders>
              <w:top w:val="nil"/>
              <w:left w:val="nil"/>
              <w:bottom w:val="single" w:sz="8" w:space="0" w:color="auto"/>
              <w:right w:val="single" w:sz="8" w:space="0" w:color="auto"/>
            </w:tcBorders>
            <w:shd w:val="clear" w:color="auto" w:fill="auto"/>
            <w:vAlign w:val="center"/>
            <w:hideMark/>
          </w:tcPr>
          <w:p w14:paraId="1B0C75B4"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1.723.839</w:t>
            </w:r>
          </w:p>
        </w:tc>
        <w:tc>
          <w:tcPr>
            <w:tcW w:w="1176" w:type="dxa"/>
            <w:tcBorders>
              <w:top w:val="nil"/>
              <w:left w:val="nil"/>
              <w:bottom w:val="single" w:sz="8" w:space="0" w:color="auto"/>
              <w:right w:val="single" w:sz="8" w:space="0" w:color="auto"/>
            </w:tcBorders>
            <w:shd w:val="clear" w:color="auto" w:fill="auto"/>
            <w:vAlign w:val="center"/>
            <w:hideMark/>
          </w:tcPr>
          <w:p w14:paraId="480C2A6B"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1.729.937</w:t>
            </w:r>
          </w:p>
        </w:tc>
        <w:tc>
          <w:tcPr>
            <w:tcW w:w="1205" w:type="dxa"/>
            <w:tcBorders>
              <w:top w:val="nil"/>
              <w:left w:val="nil"/>
              <w:bottom w:val="single" w:sz="8" w:space="0" w:color="auto"/>
              <w:right w:val="single" w:sz="8" w:space="0" w:color="auto"/>
            </w:tcBorders>
            <w:shd w:val="clear" w:color="auto" w:fill="auto"/>
            <w:vAlign w:val="center"/>
            <w:hideMark/>
          </w:tcPr>
          <w:p w14:paraId="15C43546"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1.788.755</w:t>
            </w:r>
          </w:p>
        </w:tc>
        <w:tc>
          <w:tcPr>
            <w:tcW w:w="1190" w:type="dxa"/>
            <w:tcBorders>
              <w:top w:val="nil"/>
              <w:left w:val="nil"/>
              <w:bottom w:val="single" w:sz="8" w:space="0" w:color="auto"/>
              <w:right w:val="single" w:sz="8" w:space="0" w:color="auto"/>
            </w:tcBorders>
            <w:shd w:val="clear" w:color="auto" w:fill="auto"/>
            <w:vAlign w:val="center"/>
            <w:hideMark/>
          </w:tcPr>
          <w:p w14:paraId="233C6F36" w14:textId="77777777" w:rsidR="005B7137" w:rsidRPr="005B7137" w:rsidRDefault="005B7137" w:rsidP="005B7137">
            <w:pPr>
              <w:spacing w:after="0" w:line="240" w:lineRule="auto"/>
              <w:jc w:val="both"/>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1.849.573</w:t>
            </w:r>
          </w:p>
        </w:tc>
        <w:tc>
          <w:tcPr>
            <w:tcW w:w="947" w:type="dxa"/>
            <w:tcBorders>
              <w:top w:val="nil"/>
              <w:left w:val="nil"/>
              <w:bottom w:val="single" w:sz="8" w:space="0" w:color="auto"/>
              <w:right w:val="single" w:sz="8" w:space="0" w:color="auto"/>
            </w:tcBorders>
            <w:shd w:val="clear" w:color="auto" w:fill="auto"/>
            <w:vAlign w:val="center"/>
            <w:hideMark/>
          </w:tcPr>
          <w:p w14:paraId="6083279B" w14:textId="77777777" w:rsidR="005B7137" w:rsidRPr="005B7137" w:rsidRDefault="005B7137" w:rsidP="005B7137">
            <w:pPr>
              <w:spacing w:after="0" w:line="240" w:lineRule="auto"/>
              <w:jc w:val="right"/>
              <w:rPr>
                <w:rFonts w:ascii="Times New Roman" w:eastAsia="Times New Roman" w:hAnsi="Times New Roman" w:cs="Times New Roman"/>
                <w:color w:val="000000"/>
                <w:sz w:val="24"/>
                <w:szCs w:val="24"/>
                <w:lang w:val="en-US"/>
              </w:rPr>
            </w:pPr>
            <w:r w:rsidRPr="005B7137">
              <w:rPr>
                <w:rFonts w:ascii="Times New Roman" w:eastAsia="Times New Roman" w:hAnsi="Times New Roman" w:cs="Times New Roman"/>
                <w:color w:val="000000"/>
                <w:sz w:val="24"/>
                <w:szCs w:val="24"/>
                <w:lang w:val="en-US"/>
              </w:rPr>
              <w:t>100,35</w:t>
            </w:r>
          </w:p>
        </w:tc>
      </w:tr>
    </w:tbl>
    <w:p w14:paraId="0AD56DD6" w14:textId="77777777" w:rsidR="009024AF" w:rsidRPr="00927915" w:rsidRDefault="009024AF" w:rsidP="00CA622B">
      <w:pPr>
        <w:spacing w:line="360" w:lineRule="auto"/>
        <w:jc w:val="both"/>
        <w:rPr>
          <w:rFonts w:ascii="Times New Roman" w:hAnsi="Times New Roman" w:cs="Times New Roman"/>
          <w:sz w:val="24"/>
          <w:szCs w:val="24"/>
        </w:rPr>
      </w:pPr>
    </w:p>
    <w:p w14:paraId="2613DB71" w14:textId="20E7089A" w:rsidR="00214CD7" w:rsidRDefault="00214CD7" w:rsidP="00CA622B">
      <w:pPr>
        <w:spacing w:line="360" w:lineRule="auto"/>
        <w:jc w:val="both"/>
        <w:rPr>
          <w:rFonts w:ascii="Times New Roman" w:hAnsi="Times New Roman" w:cs="Times New Roman"/>
          <w:sz w:val="24"/>
          <w:szCs w:val="24"/>
        </w:rPr>
      </w:pPr>
      <w:r w:rsidRPr="00214CD7">
        <w:rPr>
          <w:rFonts w:ascii="Times New Roman" w:hAnsi="Times New Roman" w:cs="Times New Roman"/>
          <w:sz w:val="24"/>
          <w:szCs w:val="24"/>
        </w:rPr>
        <w:t xml:space="preserve">Na izvoru 43 Ostali prihodi za posebne namjene odnose </w:t>
      </w:r>
      <w:r>
        <w:rPr>
          <w:rFonts w:ascii="Times New Roman" w:hAnsi="Times New Roman" w:cs="Times New Roman"/>
          <w:sz w:val="24"/>
          <w:szCs w:val="24"/>
        </w:rPr>
        <w:t xml:space="preserve">se </w:t>
      </w:r>
      <w:r w:rsidRPr="00214CD7">
        <w:rPr>
          <w:rFonts w:ascii="Times New Roman" w:hAnsi="Times New Roman" w:cs="Times New Roman"/>
          <w:sz w:val="24"/>
          <w:szCs w:val="24"/>
        </w:rPr>
        <w:t>na prihode od školarina za sveučilišni integrirani prijediplomski i diplomski studij, prihode od poslijediplomskog doktorskog studija te na prihode od školarina od poslijediplomskih specijalističkih studija.</w:t>
      </w:r>
      <w:r w:rsidR="00E66BA7">
        <w:rPr>
          <w:rFonts w:ascii="Times New Roman" w:hAnsi="Times New Roman" w:cs="Times New Roman"/>
          <w:sz w:val="24"/>
          <w:szCs w:val="24"/>
        </w:rPr>
        <w:t xml:space="preserve"> </w:t>
      </w:r>
      <w:r w:rsidRPr="00214CD7">
        <w:rPr>
          <w:rFonts w:ascii="Times New Roman" w:hAnsi="Times New Roman" w:cs="Times New Roman"/>
          <w:sz w:val="24"/>
          <w:szCs w:val="24"/>
        </w:rPr>
        <w:t xml:space="preserve">Najveći dio prihoda odnosi se na studij veterinarske medicine na engleskom jeziku. Od navedenih prihoda najveći dio se koristi za podmirivanje vanjske suradnje, rashoda za zaposlene te osiguranje potrebne opreme potrebne za provođenje studija, pokrivanje materijalnih troškova, tekuće investicijsko održavanje i ostalih aktivnosti potrebnih za normalno funkcioniranje rada </w:t>
      </w:r>
      <w:r w:rsidR="003549D3">
        <w:rPr>
          <w:rFonts w:ascii="Times New Roman" w:hAnsi="Times New Roman" w:cs="Times New Roman"/>
          <w:sz w:val="24"/>
          <w:szCs w:val="24"/>
        </w:rPr>
        <w:t>Veterinarskog f</w:t>
      </w:r>
      <w:r w:rsidRPr="00214CD7">
        <w:rPr>
          <w:rFonts w:ascii="Times New Roman" w:hAnsi="Times New Roman" w:cs="Times New Roman"/>
          <w:sz w:val="24"/>
          <w:szCs w:val="24"/>
        </w:rPr>
        <w:t xml:space="preserve">akulteta.  </w:t>
      </w:r>
    </w:p>
    <w:p w14:paraId="05466028" w14:textId="77777777" w:rsidR="00993503" w:rsidRPr="007D0622" w:rsidRDefault="00993503" w:rsidP="00CA622B">
      <w:pPr>
        <w:spacing w:before="100" w:beforeAutospacing="1" w:after="100" w:afterAutospacing="1" w:line="360" w:lineRule="auto"/>
        <w:rPr>
          <w:rFonts w:ascii="Times New Roman" w:hAnsi="Times New Roman" w:cs="Times New Roman"/>
          <w:i/>
          <w:color w:val="000000"/>
          <w:sz w:val="24"/>
          <w:szCs w:val="24"/>
        </w:rPr>
      </w:pPr>
      <w:r w:rsidRPr="007D0622">
        <w:rPr>
          <w:rFonts w:ascii="Times New Roman" w:hAnsi="Times New Roman" w:cs="Times New Roman"/>
          <w:i/>
          <w:sz w:val="24"/>
          <w:szCs w:val="24"/>
        </w:rPr>
        <w:t>Ishodište i pokazatelji na kojima se zasnivaju izračuni – Prihodi za posebne namjene</w:t>
      </w:r>
    </w:p>
    <w:p w14:paraId="77E3A257" w14:textId="1180A444" w:rsidR="00993503" w:rsidRPr="007D0622" w:rsidRDefault="00993503" w:rsidP="00CA622B">
      <w:pPr>
        <w:spacing w:before="100" w:beforeAutospacing="1" w:after="100" w:afterAutospacing="1" w:line="360" w:lineRule="auto"/>
        <w:jc w:val="both"/>
        <w:rPr>
          <w:rFonts w:ascii="Times New Roman" w:hAnsi="Times New Roman" w:cs="Times New Roman"/>
          <w:i/>
          <w:color w:val="000000"/>
          <w:sz w:val="24"/>
          <w:szCs w:val="24"/>
        </w:rPr>
      </w:pPr>
      <w:r w:rsidRPr="007D0622">
        <w:rPr>
          <w:rFonts w:ascii="Times New Roman" w:hAnsi="Times New Roman" w:cs="Times New Roman"/>
          <w:i/>
          <w:color w:val="000000"/>
          <w:sz w:val="24"/>
          <w:szCs w:val="24"/>
        </w:rPr>
        <w:t>Prihodi od</w:t>
      </w:r>
      <w:r w:rsidRPr="007D0622">
        <w:rPr>
          <w:rFonts w:ascii="Times New Roman" w:hAnsi="Times New Roman" w:cs="Times New Roman"/>
          <w:i/>
          <w:sz w:val="24"/>
          <w:szCs w:val="24"/>
        </w:rPr>
        <w:t xml:space="preserve"> sufinanciranja cijene participacije školarina</w:t>
      </w:r>
      <w:r w:rsidR="00044865">
        <w:rPr>
          <w:rFonts w:ascii="Times New Roman" w:hAnsi="Times New Roman" w:cs="Times New Roman"/>
          <w:i/>
          <w:color w:val="000000"/>
          <w:sz w:val="24"/>
          <w:szCs w:val="24"/>
        </w:rPr>
        <w:t xml:space="preserve"> u za 202</w:t>
      </w:r>
      <w:r w:rsidR="005B7137">
        <w:rPr>
          <w:rFonts w:ascii="Times New Roman" w:hAnsi="Times New Roman" w:cs="Times New Roman"/>
          <w:i/>
          <w:color w:val="000000"/>
          <w:sz w:val="24"/>
          <w:szCs w:val="24"/>
        </w:rPr>
        <w:t>5</w:t>
      </w:r>
      <w:r w:rsidR="00044865">
        <w:rPr>
          <w:rFonts w:ascii="Times New Roman" w:hAnsi="Times New Roman" w:cs="Times New Roman"/>
          <w:i/>
          <w:color w:val="000000"/>
          <w:sz w:val="24"/>
          <w:szCs w:val="24"/>
        </w:rPr>
        <w:t>. godinu iznosu od 1.72</w:t>
      </w:r>
      <w:r w:rsidR="005B7137">
        <w:rPr>
          <w:rFonts w:ascii="Times New Roman" w:hAnsi="Times New Roman" w:cs="Times New Roman"/>
          <w:i/>
          <w:color w:val="000000"/>
          <w:sz w:val="24"/>
          <w:szCs w:val="24"/>
        </w:rPr>
        <w:t>9.937</w:t>
      </w:r>
      <w:r w:rsidR="00993533" w:rsidRPr="007D0622">
        <w:rPr>
          <w:rFonts w:ascii="Times New Roman" w:hAnsi="Times New Roman" w:cs="Times New Roman"/>
          <w:i/>
          <w:color w:val="000000"/>
          <w:sz w:val="24"/>
          <w:szCs w:val="24"/>
        </w:rPr>
        <w:t xml:space="preserve"> eura</w:t>
      </w:r>
      <w:r w:rsidRPr="007D0622">
        <w:rPr>
          <w:rFonts w:ascii="Times New Roman" w:hAnsi="Times New Roman" w:cs="Times New Roman"/>
          <w:i/>
          <w:color w:val="000000"/>
          <w:sz w:val="24"/>
          <w:szCs w:val="24"/>
        </w:rPr>
        <w:t xml:space="preserve"> planirani temeljem procjene broja upisa studenta u I do V</w:t>
      </w:r>
      <w:r w:rsidR="00A02624" w:rsidRPr="007D0622">
        <w:rPr>
          <w:rFonts w:ascii="Times New Roman" w:hAnsi="Times New Roman" w:cs="Times New Roman"/>
          <w:i/>
          <w:color w:val="000000"/>
          <w:sz w:val="24"/>
          <w:szCs w:val="24"/>
        </w:rPr>
        <w:t>I</w:t>
      </w:r>
      <w:r w:rsidRPr="007D0622">
        <w:rPr>
          <w:rFonts w:ascii="Times New Roman" w:hAnsi="Times New Roman" w:cs="Times New Roman"/>
          <w:i/>
          <w:color w:val="000000"/>
          <w:sz w:val="24"/>
          <w:szCs w:val="24"/>
        </w:rPr>
        <w:t xml:space="preserve"> godinu studija na engleskom jeziku</w:t>
      </w:r>
      <w:r w:rsidR="003549D3">
        <w:rPr>
          <w:rFonts w:ascii="Times New Roman" w:hAnsi="Times New Roman" w:cs="Times New Roman"/>
          <w:i/>
          <w:color w:val="000000"/>
          <w:sz w:val="24"/>
          <w:szCs w:val="24"/>
        </w:rPr>
        <w:t xml:space="preserve">, </w:t>
      </w:r>
      <w:r w:rsidRPr="007D0622">
        <w:rPr>
          <w:rFonts w:ascii="Times New Roman" w:hAnsi="Times New Roman" w:cs="Times New Roman"/>
          <w:i/>
          <w:color w:val="000000"/>
          <w:sz w:val="24"/>
          <w:szCs w:val="24"/>
        </w:rPr>
        <w:t>učešća redovitih studenata u participacijama na bazi prosjeka prethodne godine</w:t>
      </w:r>
      <w:r w:rsidR="003549D3">
        <w:rPr>
          <w:rFonts w:ascii="Times New Roman" w:hAnsi="Times New Roman" w:cs="Times New Roman"/>
          <w:i/>
          <w:color w:val="000000"/>
          <w:sz w:val="24"/>
          <w:szCs w:val="24"/>
        </w:rPr>
        <w:t xml:space="preserve"> te prema broju upisanih polaznika poslijediplomskih specijalističkih studija.</w:t>
      </w:r>
      <w:r w:rsidRPr="007D0622">
        <w:rPr>
          <w:rFonts w:ascii="Times New Roman" w:hAnsi="Times New Roman" w:cs="Times New Roman"/>
          <w:i/>
          <w:color w:val="000000"/>
          <w:sz w:val="24"/>
          <w:szCs w:val="24"/>
        </w:rPr>
        <w:t xml:space="preserve"> </w:t>
      </w:r>
      <w:r w:rsidR="00993533" w:rsidRPr="007D0622">
        <w:rPr>
          <w:rFonts w:ascii="Times New Roman" w:hAnsi="Times New Roman" w:cs="Times New Roman"/>
          <w:i/>
          <w:color w:val="000000"/>
          <w:sz w:val="24"/>
          <w:szCs w:val="24"/>
        </w:rPr>
        <w:t xml:space="preserve">Prihodi za posebne namjene su planirani za pokriće troškova održavanja nastave na engleskom studiju kao i pokrića dijela troškova održavanja opreme i zgrada. </w:t>
      </w:r>
    </w:p>
    <w:p w14:paraId="489A20CA" w14:textId="77777777" w:rsidR="00E66BA7" w:rsidRDefault="00E66BA7" w:rsidP="00927915">
      <w:pPr>
        <w:spacing w:line="360" w:lineRule="auto"/>
        <w:ind w:left="720"/>
        <w:jc w:val="both"/>
        <w:rPr>
          <w:rFonts w:ascii="Times New Roman" w:hAnsi="Times New Roman" w:cs="Times New Roman"/>
          <w:sz w:val="24"/>
          <w:szCs w:val="24"/>
        </w:rPr>
      </w:pPr>
    </w:p>
    <w:p w14:paraId="72D7CC34" w14:textId="534CE92C" w:rsidR="00BE2B24" w:rsidRPr="00927915" w:rsidRDefault="00927915" w:rsidP="00927915">
      <w:pPr>
        <w:spacing w:line="360" w:lineRule="auto"/>
        <w:ind w:left="720"/>
        <w:jc w:val="both"/>
        <w:rPr>
          <w:rFonts w:ascii="Times New Roman" w:hAnsi="Times New Roman" w:cs="Times New Roman"/>
          <w:sz w:val="24"/>
          <w:szCs w:val="24"/>
        </w:rPr>
      </w:pPr>
      <w:r w:rsidRPr="00927915">
        <w:rPr>
          <w:rFonts w:ascii="Times New Roman" w:hAnsi="Times New Roman" w:cs="Times New Roman"/>
          <w:sz w:val="24"/>
          <w:szCs w:val="24"/>
        </w:rPr>
        <w:lastRenderedPageBreak/>
        <w:t>1.3</w:t>
      </w:r>
      <w:r w:rsidR="00BE2B24" w:rsidRPr="00927915">
        <w:rPr>
          <w:rFonts w:ascii="Times New Roman" w:hAnsi="Times New Roman" w:cs="Times New Roman"/>
          <w:sz w:val="24"/>
          <w:szCs w:val="24"/>
        </w:rPr>
        <w:t>. Obrazloženje programa- Ostale pomoći: prijenosi između proračunskih korisnika</w:t>
      </w:r>
      <w:r w:rsidRPr="00927915">
        <w:rPr>
          <w:rFonts w:ascii="Times New Roman" w:hAnsi="Times New Roman" w:cs="Times New Roman"/>
          <w:sz w:val="24"/>
          <w:szCs w:val="24"/>
        </w:rPr>
        <w:t xml:space="preserve"> – izvor 52</w:t>
      </w:r>
    </w:p>
    <w:tbl>
      <w:tblPr>
        <w:tblW w:w="8820" w:type="dxa"/>
        <w:tblLook w:val="04A0" w:firstRow="1" w:lastRow="0" w:firstColumn="1" w:lastColumn="0" w:noHBand="0" w:noVBand="1"/>
      </w:tblPr>
      <w:tblGrid>
        <w:gridCol w:w="1938"/>
        <w:gridCol w:w="1255"/>
        <w:gridCol w:w="1137"/>
        <w:gridCol w:w="1120"/>
        <w:gridCol w:w="1214"/>
        <w:gridCol w:w="1190"/>
        <w:gridCol w:w="966"/>
      </w:tblGrid>
      <w:tr w:rsidR="003F1246" w:rsidRPr="003F1246" w14:paraId="14C4AF73" w14:textId="77777777" w:rsidTr="003F1246">
        <w:trPr>
          <w:trHeight w:val="450"/>
        </w:trPr>
        <w:tc>
          <w:tcPr>
            <w:tcW w:w="1938"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BC1D69B" w14:textId="77777777" w:rsidR="003F1246" w:rsidRPr="008F2030" w:rsidRDefault="003F1246" w:rsidP="003F1246">
            <w:pPr>
              <w:spacing w:after="0" w:line="240" w:lineRule="auto"/>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55"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3652F1EB"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137"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71796A5"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12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EFAFC5A"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14"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DAFDC52"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19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EA3DE2D"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966"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5F8F3A83"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3F1246" w:rsidRPr="003F1246" w14:paraId="143BBD8F" w14:textId="77777777" w:rsidTr="003F1246">
        <w:trPr>
          <w:trHeight w:val="450"/>
        </w:trPr>
        <w:tc>
          <w:tcPr>
            <w:tcW w:w="1938" w:type="dxa"/>
            <w:vMerge/>
            <w:tcBorders>
              <w:top w:val="single" w:sz="8" w:space="0" w:color="auto"/>
              <w:left w:val="single" w:sz="8" w:space="0" w:color="auto"/>
              <w:bottom w:val="single" w:sz="8" w:space="0" w:color="000000"/>
              <w:right w:val="single" w:sz="8" w:space="0" w:color="auto"/>
            </w:tcBorders>
            <w:vAlign w:val="center"/>
            <w:hideMark/>
          </w:tcPr>
          <w:p w14:paraId="588B8BEB"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255" w:type="dxa"/>
            <w:vMerge/>
            <w:tcBorders>
              <w:top w:val="single" w:sz="8" w:space="0" w:color="auto"/>
              <w:left w:val="single" w:sz="8" w:space="0" w:color="auto"/>
              <w:bottom w:val="single" w:sz="8" w:space="0" w:color="000000"/>
              <w:right w:val="single" w:sz="8" w:space="0" w:color="auto"/>
            </w:tcBorders>
            <w:vAlign w:val="center"/>
            <w:hideMark/>
          </w:tcPr>
          <w:p w14:paraId="7C839899"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37" w:type="dxa"/>
            <w:vMerge/>
            <w:tcBorders>
              <w:top w:val="single" w:sz="8" w:space="0" w:color="auto"/>
              <w:left w:val="single" w:sz="8" w:space="0" w:color="auto"/>
              <w:bottom w:val="single" w:sz="8" w:space="0" w:color="000000"/>
              <w:right w:val="single" w:sz="8" w:space="0" w:color="auto"/>
            </w:tcBorders>
            <w:vAlign w:val="center"/>
            <w:hideMark/>
          </w:tcPr>
          <w:p w14:paraId="5F822ACE"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1FB0F92E"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214" w:type="dxa"/>
            <w:vMerge/>
            <w:tcBorders>
              <w:top w:val="single" w:sz="8" w:space="0" w:color="auto"/>
              <w:left w:val="single" w:sz="8" w:space="0" w:color="auto"/>
              <w:bottom w:val="single" w:sz="8" w:space="0" w:color="000000"/>
              <w:right w:val="single" w:sz="8" w:space="0" w:color="auto"/>
            </w:tcBorders>
            <w:vAlign w:val="center"/>
            <w:hideMark/>
          </w:tcPr>
          <w:p w14:paraId="6354131B"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2B6DD1E5"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966" w:type="dxa"/>
            <w:vMerge/>
            <w:tcBorders>
              <w:top w:val="single" w:sz="8" w:space="0" w:color="auto"/>
              <w:left w:val="single" w:sz="8" w:space="0" w:color="auto"/>
              <w:bottom w:val="single" w:sz="8" w:space="0" w:color="000000"/>
              <w:right w:val="single" w:sz="8" w:space="0" w:color="auto"/>
            </w:tcBorders>
            <w:vAlign w:val="center"/>
            <w:hideMark/>
          </w:tcPr>
          <w:p w14:paraId="2F1A04ED"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r>
      <w:tr w:rsidR="003F1246" w:rsidRPr="003F1246" w14:paraId="4A88235A" w14:textId="77777777" w:rsidTr="003F1246">
        <w:trPr>
          <w:trHeight w:val="315"/>
        </w:trPr>
        <w:tc>
          <w:tcPr>
            <w:tcW w:w="1938" w:type="dxa"/>
            <w:tcBorders>
              <w:top w:val="nil"/>
              <w:left w:val="single" w:sz="8" w:space="0" w:color="auto"/>
              <w:bottom w:val="nil"/>
              <w:right w:val="single" w:sz="8" w:space="0" w:color="auto"/>
            </w:tcBorders>
            <w:shd w:val="clear" w:color="auto" w:fill="auto"/>
            <w:vAlign w:val="center"/>
            <w:hideMark/>
          </w:tcPr>
          <w:p w14:paraId="52E3D909"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A679088</w:t>
            </w:r>
          </w:p>
        </w:tc>
        <w:tc>
          <w:tcPr>
            <w:tcW w:w="1255" w:type="dxa"/>
            <w:tcBorders>
              <w:top w:val="nil"/>
              <w:left w:val="nil"/>
              <w:bottom w:val="nil"/>
              <w:right w:val="single" w:sz="8" w:space="0" w:color="auto"/>
            </w:tcBorders>
            <w:shd w:val="clear" w:color="auto" w:fill="auto"/>
            <w:vAlign w:val="center"/>
            <w:hideMark/>
          </w:tcPr>
          <w:p w14:paraId="0A0A100E"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37" w:type="dxa"/>
            <w:tcBorders>
              <w:top w:val="nil"/>
              <w:left w:val="nil"/>
              <w:bottom w:val="nil"/>
              <w:right w:val="single" w:sz="8" w:space="0" w:color="auto"/>
            </w:tcBorders>
            <w:shd w:val="clear" w:color="auto" w:fill="auto"/>
            <w:vAlign w:val="center"/>
            <w:hideMark/>
          </w:tcPr>
          <w:p w14:paraId="3F169E23"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20" w:type="dxa"/>
            <w:tcBorders>
              <w:top w:val="nil"/>
              <w:left w:val="nil"/>
              <w:bottom w:val="nil"/>
              <w:right w:val="single" w:sz="8" w:space="0" w:color="auto"/>
            </w:tcBorders>
            <w:shd w:val="clear" w:color="auto" w:fill="auto"/>
            <w:vAlign w:val="center"/>
            <w:hideMark/>
          </w:tcPr>
          <w:p w14:paraId="61BD6F44"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214" w:type="dxa"/>
            <w:tcBorders>
              <w:top w:val="nil"/>
              <w:left w:val="nil"/>
              <w:bottom w:val="nil"/>
              <w:right w:val="single" w:sz="8" w:space="0" w:color="auto"/>
            </w:tcBorders>
            <w:shd w:val="clear" w:color="auto" w:fill="auto"/>
            <w:vAlign w:val="center"/>
            <w:hideMark/>
          </w:tcPr>
          <w:p w14:paraId="3B6279A4"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90" w:type="dxa"/>
            <w:tcBorders>
              <w:top w:val="nil"/>
              <w:left w:val="nil"/>
              <w:bottom w:val="nil"/>
              <w:right w:val="single" w:sz="8" w:space="0" w:color="auto"/>
            </w:tcBorders>
            <w:shd w:val="clear" w:color="auto" w:fill="auto"/>
            <w:vAlign w:val="center"/>
            <w:hideMark/>
          </w:tcPr>
          <w:p w14:paraId="4BE15EAC"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966" w:type="dxa"/>
            <w:tcBorders>
              <w:top w:val="nil"/>
              <w:left w:val="nil"/>
              <w:bottom w:val="nil"/>
              <w:right w:val="single" w:sz="8" w:space="0" w:color="auto"/>
            </w:tcBorders>
            <w:shd w:val="clear" w:color="auto" w:fill="auto"/>
            <w:vAlign w:val="center"/>
            <w:hideMark/>
          </w:tcPr>
          <w:p w14:paraId="1FF9BB03"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r>
      <w:tr w:rsidR="003F1246" w:rsidRPr="003F1246" w14:paraId="6B445E79" w14:textId="77777777" w:rsidTr="003F1246">
        <w:trPr>
          <w:trHeight w:val="330"/>
        </w:trPr>
        <w:tc>
          <w:tcPr>
            <w:tcW w:w="1938" w:type="dxa"/>
            <w:tcBorders>
              <w:top w:val="nil"/>
              <w:left w:val="single" w:sz="8" w:space="0" w:color="auto"/>
              <w:bottom w:val="single" w:sz="8" w:space="0" w:color="auto"/>
              <w:right w:val="single" w:sz="8" w:space="0" w:color="auto"/>
            </w:tcBorders>
            <w:shd w:val="clear" w:color="auto" w:fill="auto"/>
            <w:vAlign w:val="center"/>
            <w:hideMark/>
          </w:tcPr>
          <w:p w14:paraId="63C1158D" w14:textId="77777777" w:rsidR="003F1246" w:rsidRPr="003F1246" w:rsidRDefault="003F1246" w:rsidP="003F1246">
            <w:pPr>
              <w:spacing w:after="0" w:line="240" w:lineRule="auto"/>
              <w:ind w:firstLineChars="500" w:firstLine="1200"/>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255" w:type="dxa"/>
            <w:tcBorders>
              <w:top w:val="nil"/>
              <w:left w:val="nil"/>
              <w:bottom w:val="single" w:sz="8" w:space="0" w:color="auto"/>
              <w:right w:val="single" w:sz="8" w:space="0" w:color="auto"/>
            </w:tcBorders>
            <w:shd w:val="clear" w:color="auto" w:fill="auto"/>
            <w:vAlign w:val="center"/>
            <w:hideMark/>
          </w:tcPr>
          <w:p w14:paraId="0164A49C"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280.276</w:t>
            </w:r>
          </w:p>
        </w:tc>
        <w:tc>
          <w:tcPr>
            <w:tcW w:w="1137" w:type="dxa"/>
            <w:tcBorders>
              <w:top w:val="nil"/>
              <w:left w:val="nil"/>
              <w:bottom w:val="single" w:sz="8" w:space="0" w:color="auto"/>
              <w:right w:val="single" w:sz="8" w:space="0" w:color="auto"/>
            </w:tcBorders>
            <w:shd w:val="clear" w:color="auto" w:fill="auto"/>
            <w:vAlign w:val="center"/>
            <w:hideMark/>
          </w:tcPr>
          <w:p w14:paraId="0D0B94BF"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540.170</w:t>
            </w:r>
          </w:p>
        </w:tc>
        <w:tc>
          <w:tcPr>
            <w:tcW w:w="1120" w:type="dxa"/>
            <w:tcBorders>
              <w:top w:val="nil"/>
              <w:left w:val="nil"/>
              <w:bottom w:val="single" w:sz="8" w:space="0" w:color="auto"/>
              <w:right w:val="single" w:sz="8" w:space="0" w:color="auto"/>
            </w:tcBorders>
            <w:shd w:val="clear" w:color="auto" w:fill="auto"/>
            <w:vAlign w:val="center"/>
            <w:hideMark/>
          </w:tcPr>
          <w:p w14:paraId="10560CFA"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436.481</w:t>
            </w:r>
          </w:p>
        </w:tc>
        <w:tc>
          <w:tcPr>
            <w:tcW w:w="1214" w:type="dxa"/>
            <w:tcBorders>
              <w:top w:val="nil"/>
              <w:left w:val="nil"/>
              <w:bottom w:val="single" w:sz="8" w:space="0" w:color="auto"/>
              <w:right w:val="single" w:sz="8" w:space="0" w:color="auto"/>
            </w:tcBorders>
            <w:shd w:val="clear" w:color="auto" w:fill="auto"/>
            <w:vAlign w:val="center"/>
            <w:hideMark/>
          </w:tcPr>
          <w:p w14:paraId="503C8A87"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397.279</w:t>
            </w:r>
          </w:p>
        </w:tc>
        <w:tc>
          <w:tcPr>
            <w:tcW w:w="1190" w:type="dxa"/>
            <w:tcBorders>
              <w:top w:val="nil"/>
              <w:left w:val="nil"/>
              <w:bottom w:val="single" w:sz="8" w:space="0" w:color="auto"/>
              <w:right w:val="single" w:sz="8" w:space="0" w:color="auto"/>
            </w:tcBorders>
            <w:shd w:val="clear" w:color="auto" w:fill="auto"/>
            <w:vAlign w:val="center"/>
            <w:hideMark/>
          </w:tcPr>
          <w:p w14:paraId="3D9B4BFA"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352.986</w:t>
            </w:r>
          </w:p>
        </w:tc>
        <w:tc>
          <w:tcPr>
            <w:tcW w:w="966" w:type="dxa"/>
            <w:tcBorders>
              <w:top w:val="nil"/>
              <w:left w:val="nil"/>
              <w:bottom w:val="single" w:sz="8" w:space="0" w:color="auto"/>
              <w:right w:val="single" w:sz="8" w:space="0" w:color="auto"/>
            </w:tcBorders>
            <w:shd w:val="clear" w:color="auto" w:fill="auto"/>
            <w:vAlign w:val="center"/>
            <w:hideMark/>
          </w:tcPr>
          <w:p w14:paraId="09BE7969"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80,80</w:t>
            </w:r>
          </w:p>
        </w:tc>
      </w:tr>
    </w:tbl>
    <w:p w14:paraId="38E9440A" w14:textId="1B881041" w:rsidR="00D809F4" w:rsidRPr="0017549F" w:rsidRDefault="003A55C0" w:rsidP="00CA622B">
      <w:pPr>
        <w:spacing w:before="100" w:beforeAutospacing="1" w:after="100" w:afterAutospacing="1" w:line="360" w:lineRule="auto"/>
        <w:jc w:val="both"/>
        <w:rPr>
          <w:rFonts w:ascii="Times New Roman" w:hAnsi="Times New Roman" w:cs="Times New Roman"/>
          <w:sz w:val="24"/>
          <w:szCs w:val="24"/>
        </w:rPr>
      </w:pPr>
      <w:r w:rsidRPr="0017549F">
        <w:rPr>
          <w:rFonts w:ascii="Times New Roman" w:hAnsi="Times New Roman" w:cs="Times New Roman"/>
          <w:sz w:val="24"/>
          <w:szCs w:val="24"/>
        </w:rPr>
        <w:t xml:space="preserve">Planirana </w:t>
      </w:r>
      <w:r w:rsidR="006210BF" w:rsidRPr="0017549F">
        <w:rPr>
          <w:rFonts w:ascii="Times New Roman" w:hAnsi="Times New Roman" w:cs="Times New Roman"/>
          <w:sz w:val="24"/>
          <w:szCs w:val="24"/>
        </w:rPr>
        <w:t xml:space="preserve">su </w:t>
      </w:r>
      <w:r w:rsidRPr="0017549F">
        <w:rPr>
          <w:rFonts w:ascii="Times New Roman" w:hAnsi="Times New Roman" w:cs="Times New Roman"/>
          <w:sz w:val="24"/>
          <w:szCs w:val="24"/>
        </w:rPr>
        <w:t xml:space="preserve">sredstva od HRZZ </w:t>
      </w:r>
      <w:r w:rsidR="00E434A3" w:rsidRPr="0017549F">
        <w:rPr>
          <w:rFonts w:ascii="Times New Roman" w:hAnsi="Times New Roman" w:cs="Times New Roman"/>
          <w:sz w:val="24"/>
          <w:szCs w:val="24"/>
        </w:rPr>
        <w:t>iz</w:t>
      </w:r>
      <w:r w:rsidRPr="0017549F">
        <w:rPr>
          <w:rFonts w:ascii="Times New Roman" w:hAnsi="Times New Roman" w:cs="Times New Roman"/>
          <w:sz w:val="24"/>
          <w:szCs w:val="24"/>
        </w:rPr>
        <w:t xml:space="preserve"> aktivnost</w:t>
      </w:r>
      <w:r w:rsidR="00E434A3" w:rsidRPr="0017549F">
        <w:rPr>
          <w:rFonts w:ascii="Times New Roman" w:hAnsi="Times New Roman" w:cs="Times New Roman"/>
          <w:sz w:val="24"/>
          <w:szCs w:val="24"/>
        </w:rPr>
        <w:t>i</w:t>
      </w:r>
      <w:r w:rsidRPr="0017549F">
        <w:rPr>
          <w:rFonts w:ascii="Times New Roman" w:hAnsi="Times New Roman" w:cs="Times New Roman"/>
          <w:sz w:val="24"/>
          <w:szCs w:val="24"/>
        </w:rPr>
        <w:t xml:space="preserve"> A621048 Projektno financiranje znanstvene djelatnosti u 2025. g</w:t>
      </w:r>
      <w:r w:rsidR="005C72CF">
        <w:rPr>
          <w:rFonts w:ascii="Times New Roman" w:hAnsi="Times New Roman" w:cs="Times New Roman"/>
          <w:sz w:val="24"/>
          <w:szCs w:val="24"/>
        </w:rPr>
        <w:t>.</w:t>
      </w:r>
      <w:r w:rsidRPr="0017549F">
        <w:rPr>
          <w:rFonts w:ascii="Times New Roman" w:hAnsi="Times New Roman" w:cs="Times New Roman"/>
          <w:sz w:val="24"/>
          <w:szCs w:val="24"/>
        </w:rPr>
        <w:t xml:space="preserve"> </w:t>
      </w:r>
      <w:r w:rsidR="00E434A3" w:rsidRPr="0017549F">
        <w:rPr>
          <w:rFonts w:ascii="Times New Roman" w:hAnsi="Times New Roman" w:cs="Times New Roman"/>
          <w:sz w:val="24"/>
          <w:szCs w:val="24"/>
        </w:rPr>
        <w:t xml:space="preserve"> 36.684 eura, u 2026. g</w:t>
      </w:r>
      <w:r w:rsidR="005C72CF">
        <w:rPr>
          <w:rFonts w:ascii="Times New Roman" w:hAnsi="Times New Roman" w:cs="Times New Roman"/>
          <w:sz w:val="24"/>
          <w:szCs w:val="24"/>
        </w:rPr>
        <w:t>.</w:t>
      </w:r>
      <w:r w:rsidR="00E434A3" w:rsidRPr="0017549F">
        <w:rPr>
          <w:rFonts w:ascii="Times New Roman" w:hAnsi="Times New Roman" w:cs="Times New Roman"/>
          <w:sz w:val="24"/>
          <w:szCs w:val="24"/>
        </w:rPr>
        <w:t xml:space="preserve"> 40.901 eura i u 2027. g</w:t>
      </w:r>
      <w:r w:rsidR="005C72CF">
        <w:rPr>
          <w:rFonts w:ascii="Times New Roman" w:hAnsi="Times New Roman" w:cs="Times New Roman"/>
          <w:sz w:val="24"/>
          <w:szCs w:val="24"/>
        </w:rPr>
        <w:t>.</w:t>
      </w:r>
      <w:r w:rsidR="00E434A3" w:rsidRPr="0017549F">
        <w:rPr>
          <w:rFonts w:ascii="Times New Roman" w:hAnsi="Times New Roman" w:cs="Times New Roman"/>
          <w:sz w:val="24"/>
          <w:szCs w:val="24"/>
        </w:rPr>
        <w:t xml:space="preserve"> </w:t>
      </w:r>
      <w:r w:rsidR="005C72CF">
        <w:rPr>
          <w:rFonts w:ascii="Times New Roman" w:hAnsi="Times New Roman" w:cs="Times New Roman"/>
          <w:sz w:val="24"/>
          <w:szCs w:val="24"/>
        </w:rPr>
        <w:t xml:space="preserve"> </w:t>
      </w:r>
      <w:r w:rsidR="00E434A3" w:rsidRPr="0017549F">
        <w:rPr>
          <w:rFonts w:ascii="Times New Roman" w:hAnsi="Times New Roman" w:cs="Times New Roman"/>
          <w:sz w:val="24"/>
          <w:szCs w:val="24"/>
        </w:rPr>
        <w:t>21.949 eura te iz</w:t>
      </w:r>
      <w:r w:rsidR="003A382A" w:rsidRPr="0017549F">
        <w:rPr>
          <w:rFonts w:ascii="Times New Roman" w:hAnsi="Times New Roman" w:cs="Times New Roman"/>
          <w:sz w:val="24"/>
          <w:szCs w:val="24"/>
        </w:rPr>
        <w:t xml:space="preserve"> aktivnosti A557042 Program doktoranada i poslijedoktoranada HRZZ</w:t>
      </w:r>
      <w:r w:rsidR="00E434A3" w:rsidRPr="0017549F">
        <w:rPr>
          <w:rFonts w:ascii="Times New Roman" w:hAnsi="Times New Roman" w:cs="Times New Roman"/>
          <w:sz w:val="24"/>
          <w:szCs w:val="24"/>
        </w:rPr>
        <w:t xml:space="preserve"> planiranina sredstva u 2025. g</w:t>
      </w:r>
      <w:r w:rsidR="005C72CF">
        <w:rPr>
          <w:rFonts w:ascii="Times New Roman" w:hAnsi="Times New Roman" w:cs="Times New Roman"/>
          <w:sz w:val="24"/>
          <w:szCs w:val="24"/>
        </w:rPr>
        <w:t>.</w:t>
      </w:r>
      <w:r w:rsidR="00E434A3" w:rsidRPr="0017549F">
        <w:rPr>
          <w:rFonts w:ascii="Times New Roman" w:hAnsi="Times New Roman" w:cs="Times New Roman"/>
          <w:sz w:val="24"/>
          <w:szCs w:val="24"/>
        </w:rPr>
        <w:t xml:space="preserve"> 30.000 eura</w:t>
      </w:r>
      <w:r w:rsidR="00F86A9C" w:rsidRPr="0017549F">
        <w:rPr>
          <w:rFonts w:ascii="Times New Roman" w:hAnsi="Times New Roman" w:cs="Times New Roman"/>
          <w:sz w:val="24"/>
          <w:szCs w:val="24"/>
        </w:rPr>
        <w:t>.</w:t>
      </w:r>
      <w:r w:rsidR="00D809F4" w:rsidRPr="0017549F">
        <w:rPr>
          <w:rFonts w:ascii="Times New Roman" w:hAnsi="Times New Roman" w:cs="Times New Roman"/>
          <w:sz w:val="24"/>
          <w:szCs w:val="24"/>
        </w:rPr>
        <w:t xml:space="preserve"> </w:t>
      </w:r>
    </w:p>
    <w:p w14:paraId="67E405AD" w14:textId="54B5B74B" w:rsidR="00993503" w:rsidRDefault="00D809F4" w:rsidP="00CA622B">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istom izvoru planirana su sredstva od Ministarstva </w:t>
      </w:r>
      <w:r w:rsidR="006210BF">
        <w:rPr>
          <w:rFonts w:ascii="Times New Roman" w:hAnsi="Times New Roman" w:cs="Times New Roman"/>
          <w:color w:val="000000"/>
          <w:sz w:val="24"/>
          <w:szCs w:val="24"/>
        </w:rPr>
        <w:t>zaštite okoliša i zelene tranzicije</w:t>
      </w:r>
      <w:r>
        <w:rPr>
          <w:rFonts w:ascii="Times New Roman" w:hAnsi="Times New Roman" w:cs="Times New Roman"/>
          <w:color w:val="000000"/>
          <w:sz w:val="24"/>
          <w:szCs w:val="24"/>
        </w:rPr>
        <w:t xml:space="preserve"> u visini od 16.000 eura u planu za 202</w:t>
      </w:r>
      <w:r w:rsidR="003F1246">
        <w:rPr>
          <w:rFonts w:ascii="Times New Roman" w:hAnsi="Times New Roman" w:cs="Times New Roman"/>
          <w:color w:val="000000"/>
          <w:sz w:val="24"/>
          <w:szCs w:val="24"/>
        </w:rPr>
        <w:t>5</w:t>
      </w:r>
      <w:r>
        <w:rPr>
          <w:rFonts w:ascii="Times New Roman" w:hAnsi="Times New Roman" w:cs="Times New Roman"/>
          <w:color w:val="000000"/>
          <w:sz w:val="24"/>
          <w:szCs w:val="24"/>
        </w:rPr>
        <w:t>.g. te u projekcijama za 202</w:t>
      </w:r>
      <w:r w:rsidR="003F1246">
        <w:rPr>
          <w:rFonts w:ascii="Times New Roman" w:hAnsi="Times New Roman" w:cs="Times New Roman"/>
          <w:color w:val="000000"/>
          <w:sz w:val="24"/>
          <w:szCs w:val="24"/>
        </w:rPr>
        <w:t>6</w:t>
      </w:r>
      <w:r>
        <w:rPr>
          <w:rFonts w:ascii="Times New Roman" w:hAnsi="Times New Roman" w:cs="Times New Roman"/>
          <w:color w:val="000000"/>
          <w:sz w:val="24"/>
          <w:szCs w:val="24"/>
        </w:rPr>
        <w:t>.g. i 202</w:t>
      </w:r>
      <w:r w:rsidR="003F1246">
        <w:rPr>
          <w:rFonts w:ascii="Times New Roman" w:hAnsi="Times New Roman" w:cs="Times New Roman"/>
          <w:color w:val="000000"/>
          <w:sz w:val="24"/>
          <w:szCs w:val="24"/>
        </w:rPr>
        <w:t>7</w:t>
      </w:r>
      <w:r>
        <w:rPr>
          <w:rFonts w:ascii="Times New Roman" w:hAnsi="Times New Roman" w:cs="Times New Roman"/>
          <w:color w:val="000000"/>
          <w:sz w:val="24"/>
          <w:szCs w:val="24"/>
        </w:rPr>
        <w:t>.g. za rad oporavilišta za divlje životinje.</w:t>
      </w:r>
    </w:p>
    <w:p w14:paraId="31BABA14" w14:textId="3FAE8A0F" w:rsidR="003F6B2A" w:rsidRDefault="001406ED" w:rsidP="00CA622B">
      <w:pPr>
        <w:spacing w:before="100" w:beforeAutospacing="1"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Sredstva</w:t>
      </w:r>
      <w:r w:rsidR="003F6B2A">
        <w:rPr>
          <w:rFonts w:ascii="Times New Roman" w:hAnsi="Times New Roman" w:cs="Times New Roman"/>
          <w:color w:val="000000"/>
          <w:sz w:val="24"/>
          <w:szCs w:val="24"/>
        </w:rPr>
        <w:t xml:space="preserve"> od Ministarstva poljoprivrede</w:t>
      </w:r>
      <w:r>
        <w:rPr>
          <w:rFonts w:ascii="Times New Roman" w:hAnsi="Times New Roman" w:cs="Times New Roman"/>
          <w:color w:val="000000"/>
          <w:sz w:val="24"/>
          <w:szCs w:val="24"/>
        </w:rPr>
        <w:t xml:space="preserve">, šumarstva i ribarstva </w:t>
      </w:r>
      <w:r w:rsidR="003F6B2A">
        <w:rPr>
          <w:rFonts w:ascii="Times New Roman" w:hAnsi="Times New Roman" w:cs="Times New Roman"/>
          <w:color w:val="000000"/>
          <w:sz w:val="24"/>
          <w:szCs w:val="24"/>
        </w:rPr>
        <w:t xml:space="preserve">za </w:t>
      </w:r>
      <w:r>
        <w:rPr>
          <w:rFonts w:ascii="Times New Roman" w:hAnsi="Times New Roman" w:cs="Times New Roman"/>
          <w:color w:val="000000"/>
          <w:sz w:val="24"/>
          <w:szCs w:val="24"/>
        </w:rPr>
        <w:t xml:space="preserve">provođenja mjera zaštite zdravlja životinja od zaraznih i namjetničkih bolesti </w:t>
      </w:r>
      <w:r w:rsidR="003F6B2A">
        <w:rPr>
          <w:rFonts w:ascii="Times New Roman" w:hAnsi="Times New Roman" w:cs="Times New Roman"/>
          <w:color w:val="000000"/>
          <w:sz w:val="24"/>
          <w:szCs w:val="24"/>
        </w:rPr>
        <w:t>planira</w:t>
      </w:r>
      <w:r>
        <w:rPr>
          <w:rFonts w:ascii="Times New Roman" w:hAnsi="Times New Roman" w:cs="Times New Roman"/>
          <w:color w:val="000000"/>
          <w:sz w:val="24"/>
          <w:szCs w:val="24"/>
        </w:rPr>
        <w:t>n</w:t>
      </w:r>
      <w:r w:rsidR="003F6B2A">
        <w:rPr>
          <w:rFonts w:ascii="Times New Roman" w:hAnsi="Times New Roman" w:cs="Times New Roman"/>
          <w:color w:val="000000"/>
          <w:sz w:val="24"/>
          <w:szCs w:val="24"/>
        </w:rPr>
        <w:t xml:space="preserve"> je u iznosu </w:t>
      </w:r>
      <w:r w:rsidR="003F1246">
        <w:rPr>
          <w:rFonts w:ascii="Times New Roman" w:hAnsi="Times New Roman" w:cs="Times New Roman"/>
          <w:color w:val="000000"/>
          <w:sz w:val="24"/>
          <w:szCs w:val="24"/>
        </w:rPr>
        <w:t>300.000</w:t>
      </w:r>
      <w:r w:rsidR="003F6B2A">
        <w:rPr>
          <w:rFonts w:ascii="Times New Roman" w:hAnsi="Times New Roman" w:cs="Times New Roman"/>
          <w:color w:val="000000"/>
          <w:sz w:val="24"/>
          <w:szCs w:val="24"/>
        </w:rPr>
        <w:t xml:space="preserve"> eura u 202</w:t>
      </w:r>
      <w:r w:rsidR="003F1246">
        <w:rPr>
          <w:rFonts w:ascii="Times New Roman" w:hAnsi="Times New Roman" w:cs="Times New Roman"/>
          <w:color w:val="000000"/>
          <w:sz w:val="24"/>
          <w:szCs w:val="24"/>
        </w:rPr>
        <w:t>5</w:t>
      </w:r>
      <w:r w:rsidR="003F6B2A">
        <w:rPr>
          <w:rFonts w:ascii="Times New Roman" w:hAnsi="Times New Roman" w:cs="Times New Roman"/>
          <w:color w:val="000000"/>
          <w:sz w:val="24"/>
          <w:szCs w:val="24"/>
        </w:rPr>
        <w:t>.g. te isti iznosi u projekcijama 202</w:t>
      </w:r>
      <w:r w:rsidR="003F1246">
        <w:rPr>
          <w:rFonts w:ascii="Times New Roman" w:hAnsi="Times New Roman" w:cs="Times New Roman"/>
          <w:color w:val="000000"/>
          <w:sz w:val="24"/>
          <w:szCs w:val="24"/>
        </w:rPr>
        <w:t>6</w:t>
      </w:r>
      <w:r w:rsidR="003F6B2A">
        <w:rPr>
          <w:rFonts w:ascii="Times New Roman" w:hAnsi="Times New Roman" w:cs="Times New Roman"/>
          <w:color w:val="000000"/>
          <w:sz w:val="24"/>
          <w:szCs w:val="24"/>
        </w:rPr>
        <w:t>. i 202</w:t>
      </w:r>
      <w:r w:rsidR="003F1246">
        <w:rPr>
          <w:rFonts w:ascii="Times New Roman" w:hAnsi="Times New Roman" w:cs="Times New Roman"/>
          <w:color w:val="000000"/>
          <w:sz w:val="24"/>
          <w:szCs w:val="24"/>
        </w:rPr>
        <w:t>7</w:t>
      </w:r>
      <w:r w:rsidR="003F6B2A">
        <w:rPr>
          <w:rFonts w:ascii="Times New Roman" w:hAnsi="Times New Roman" w:cs="Times New Roman"/>
          <w:color w:val="000000"/>
          <w:sz w:val="24"/>
          <w:szCs w:val="24"/>
        </w:rPr>
        <w:t>.g</w:t>
      </w:r>
    </w:p>
    <w:p w14:paraId="6381713F" w14:textId="7B35F2C2" w:rsidR="009337A4" w:rsidRPr="00927915" w:rsidRDefault="00672595" w:rsidP="00E07A85">
      <w:pPr>
        <w:spacing w:line="360" w:lineRule="auto"/>
        <w:ind w:left="720"/>
        <w:jc w:val="both"/>
        <w:rPr>
          <w:rFonts w:ascii="Times New Roman" w:hAnsi="Times New Roman" w:cs="Times New Roman"/>
          <w:sz w:val="24"/>
          <w:szCs w:val="24"/>
        </w:rPr>
      </w:pPr>
      <w:r w:rsidRPr="00927915">
        <w:rPr>
          <w:rFonts w:ascii="Times New Roman" w:hAnsi="Times New Roman" w:cs="Times New Roman"/>
          <w:sz w:val="24"/>
          <w:szCs w:val="24"/>
        </w:rPr>
        <w:t>1.</w:t>
      </w:r>
      <w:r w:rsidR="00216247" w:rsidRPr="00927915">
        <w:rPr>
          <w:rFonts w:ascii="Times New Roman" w:hAnsi="Times New Roman" w:cs="Times New Roman"/>
          <w:sz w:val="24"/>
          <w:szCs w:val="24"/>
        </w:rPr>
        <w:t xml:space="preserve">4. </w:t>
      </w:r>
      <w:r w:rsidRPr="00927915">
        <w:rPr>
          <w:rFonts w:ascii="Times New Roman" w:hAnsi="Times New Roman" w:cs="Times New Roman"/>
          <w:sz w:val="24"/>
          <w:szCs w:val="24"/>
        </w:rPr>
        <w:t xml:space="preserve"> Obrazloženje programa- EU projekti</w:t>
      </w:r>
      <w:r w:rsidR="00F42B90">
        <w:rPr>
          <w:rFonts w:ascii="Times New Roman" w:hAnsi="Times New Roman" w:cs="Times New Roman"/>
          <w:sz w:val="24"/>
          <w:szCs w:val="24"/>
        </w:rPr>
        <w:t xml:space="preserve"> – izvor 51</w:t>
      </w:r>
    </w:p>
    <w:tbl>
      <w:tblPr>
        <w:tblW w:w="8820" w:type="dxa"/>
        <w:tblLook w:val="04A0" w:firstRow="1" w:lastRow="0" w:firstColumn="1" w:lastColumn="0" w:noHBand="0" w:noVBand="1"/>
      </w:tblPr>
      <w:tblGrid>
        <w:gridCol w:w="1754"/>
        <w:gridCol w:w="1299"/>
        <w:gridCol w:w="1179"/>
        <w:gridCol w:w="1159"/>
        <w:gridCol w:w="1240"/>
        <w:gridCol w:w="1190"/>
        <w:gridCol w:w="999"/>
      </w:tblGrid>
      <w:tr w:rsidR="003F1246" w:rsidRPr="003F1246" w14:paraId="52F16723" w14:textId="77777777" w:rsidTr="003F1246">
        <w:trPr>
          <w:trHeight w:val="450"/>
        </w:trPr>
        <w:tc>
          <w:tcPr>
            <w:tcW w:w="1754"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7E271DF" w14:textId="77777777" w:rsidR="003F1246" w:rsidRPr="008F2030" w:rsidRDefault="003F1246" w:rsidP="003F1246">
            <w:pPr>
              <w:spacing w:after="0" w:line="240" w:lineRule="auto"/>
              <w:jc w:val="both"/>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 </w:t>
            </w:r>
          </w:p>
        </w:tc>
        <w:tc>
          <w:tcPr>
            <w:tcW w:w="1299"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5377F1C"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Izvršenje 2023.</w:t>
            </w:r>
          </w:p>
        </w:tc>
        <w:tc>
          <w:tcPr>
            <w:tcW w:w="1179"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7D141BD3"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2024.</w:t>
            </w:r>
          </w:p>
        </w:tc>
        <w:tc>
          <w:tcPr>
            <w:tcW w:w="1159"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077C78DF"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Plan 2025.</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D35C95E"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2026.</w:t>
            </w:r>
          </w:p>
        </w:tc>
        <w:tc>
          <w:tcPr>
            <w:tcW w:w="1190"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237B0A7E"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Projekcija 2027.</w:t>
            </w:r>
          </w:p>
        </w:tc>
        <w:tc>
          <w:tcPr>
            <w:tcW w:w="999" w:type="dxa"/>
            <w:vMerge w:val="restart"/>
            <w:tcBorders>
              <w:top w:val="single" w:sz="8" w:space="0" w:color="auto"/>
              <w:left w:val="single" w:sz="8" w:space="0" w:color="auto"/>
              <w:bottom w:val="single" w:sz="8" w:space="0" w:color="000000"/>
              <w:right w:val="single" w:sz="8" w:space="0" w:color="auto"/>
            </w:tcBorders>
            <w:shd w:val="clear" w:color="000000" w:fill="D0CECE"/>
            <w:vAlign w:val="center"/>
            <w:hideMark/>
          </w:tcPr>
          <w:p w14:paraId="424E5A77" w14:textId="77777777" w:rsidR="003F1246" w:rsidRPr="008F2030" w:rsidRDefault="003F1246" w:rsidP="003F1246">
            <w:pPr>
              <w:spacing w:after="0" w:line="240" w:lineRule="auto"/>
              <w:jc w:val="center"/>
              <w:rPr>
                <w:rFonts w:ascii="Times New Roman" w:eastAsia="Times New Roman" w:hAnsi="Times New Roman" w:cs="Times New Roman"/>
                <w:color w:val="000000"/>
                <w:sz w:val="24"/>
                <w:szCs w:val="24"/>
              </w:rPr>
            </w:pPr>
            <w:r w:rsidRPr="008F2030">
              <w:rPr>
                <w:rFonts w:ascii="Times New Roman" w:eastAsia="Times New Roman" w:hAnsi="Times New Roman" w:cs="Times New Roman"/>
                <w:color w:val="000000"/>
                <w:sz w:val="24"/>
                <w:szCs w:val="24"/>
              </w:rPr>
              <w:t>Indeks 25./24.</w:t>
            </w:r>
          </w:p>
        </w:tc>
      </w:tr>
      <w:tr w:rsidR="003F1246" w:rsidRPr="003F1246" w14:paraId="6466B65E" w14:textId="77777777" w:rsidTr="003F1246">
        <w:trPr>
          <w:trHeight w:val="450"/>
        </w:trPr>
        <w:tc>
          <w:tcPr>
            <w:tcW w:w="1754" w:type="dxa"/>
            <w:vMerge/>
            <w:tcBorders>
              <w:top w:val="single" w:sz="8" w:space="0" w:color="auto"/>
              <w:left w:val="single" w:sz="8" w:space="0" w:color="auto"/>
              <w:bottom w:val="single" w:sz="8" w:space="0" w:color="000000"/>
              <w:right w:val="single" w:sz="8" w:space="0" w:color="auto"/>
            </w:tcBorders>
            <w:vAlign w:val="center"/>
            <w:hideMark/>
          </w:tcPr>
          <w:p w14:paraId="120E96BD"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299" w:type="dxa"/>
            <w:vMerge/>
            <w:tcBorders>
              <w:top w:val="single" w:sz="8" w:space="0" w:color="auto"/>
              <w:left w:val="single" w:sz="8" w:space="0" w:color="auto"/>
              <w:bottom w:val="single" w:sz="8" w:space="0" w:color="000000"/>
              <w:right w:val="single" w:sz="8" w:space="0" w:color="auto"/>
            </w:tcBorders>
            <w:vAlign w:val="center"/>
            <w:hideMark/>
          </w:tcPr>
          <w:p w14:paraId="54B98F26"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79" w:type="dxa"/>
            <w:vMerge/>
            <w:tcBorders>
              <w:top w:val="single" w:sz="8" w:space="0" w:color="auto"/>
              <w:left w:val="single" w:sz="8" w:space="0" w:color="auto"/>
              <w:bottom w:val="single" w:sz="8" w:space="0" w:color="000000"/>
              <w:right w:val="single" w:sz="8" w:space="0" w:color="auto"/>
            </w:tcBorders>
            <w:vAlign w:val="center"/>
            <w:hideMark/>
          </w:tcPr>
          <w:p w14:paraId="6DB59160"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14:paraId="6996F148"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14:paraId="5EB33617"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190" w:type="dxa"/>
            <w:vMerge/>
            <w:tcBorders>
              <w:top w:val="single" w:sz="8" w:space="0" w:color="auto"/>
              <w:left w:val="single" w:sz="8" w:space="0" w:color="auto"/>
              <w:bottom w:val="single" w:sz="8" w:space="0" w:color="000000"/>
              <w:right w:val="single" w:sz="8" w:space="0" w:color="auto"/>
            </w:tcBorders>
            <w:vAlign w:val="center"/>
            <w:hideMark/>
          </w:tcPr>
          <w:p w14:paraId="1C2EEF84"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999" w:type="dxa"/>
            <w:vMerge/>
            <w:tcBorders>
              <w:top w:val="single" w:sz="8" w:space="0" w:color="auto"/>
              <w:left w:val="single" w:sz="8" w:space="0" w:color="auto"/>
              <w:bottom w:val="single" w:sz="8" w:space="0" w:color="000000"/>
              <w:right w:val="single" w:sz="8" w:space="0" w:color="auto"/>
            </w:tcBorders>
            <w:vAlign w:val="center"/>
            <w:hideMark/>
          </w:tcPr>
          <w:p w14:paraId="4FA768A7"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r>
      <w:tr w:rsidR="003F1246" w:rsidRPr="003F1246" w14:paraId="1F1C7EDC" w14:textId="77777777" w:rsidTr="003F1246">
        <w:trPr>
          <w:trHeight w:val="315"/>
        </w:trPr>
        <w:tc>
          <w:tcPr>
            <w:tcW w:w="1754" w:type="dxa"/>
            <w:vMerge w:val="restart"/>
            <w:tcBorders>
              <w:top w:val="nil"/>
              <w:left w:val="single" w:sz="8" w:space="0" w:color="auto"/>
              <w:bottom w:val="single" w:sz="8" w:space="0" w:color="000000"/>
              <w:right w:val="single" w:sz="8" w:space="0" w:color="auto"/>
            </w:tcBorders>
            <w:shd w:val="clear" w:color="auto" w:fill="auto"/>
            <w:vAlign w:val="center"/>
            <w:hideMark/>
          </w:tcPr>
          <w:p w14:paraId="536F1CF9"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bookmarkStart w:id="2" w:name="RANGE!C36"/>
            <w:r w:rsidRPr="003F1246">
              <w:rPr>
                <w:rFonts w:ascii="Times New Roman" w:eastAsia="Times New Roman" w:hAnsi="Times New Roman" w:cs="Times New Roman"/>
                <w:color w:val="000000"/>
                <w:sz w:val="24"/>
                <w:szCs w:val="24"/>
                <w:lang w:val="en-US"/>
              </w:rPr>
              <w:t>A679078 pomoći EU - 51</w:t>
            </w:r>
            <w:bookmarkEnd w:id="2"/>
          </w:p>
        </w:tc>
        <w:tc>
          <w:tcPr>
            <w:tcW w:w="1299" w:type="dxa"/>
            <w:tcBorders>
              <w:top w:val="nil"/>
              <w:left w:val="nil"/>
              <w:bottom w:val="nil"/>
              <w:right w:val="single" w:sz="8" w:space="0" w:color="auto"/>
            </w:tcBorders>
            <w:shd w:val="clear" w:color="auto" w:fill="auto"/>
            <w:vAlign w:val="center"/>
            <w:hideMark/>
          </w:tcPr>
          <w:p w14:paraId="68B75AB7"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79" w:type="dxa"/>
            <w:tcBorders>
              <w:top w:val="nil"/>
              <w:left w:val="nil"/>
              <w:bottom w:val="nil"/>
              <w:right w:val="single" w:sz="8" w:space="0" w:color="auto"/>
            </w:tcBorders>
            <w:shd w:val="clear" w:color="auto" w:fill="auto"/>
            <w:vAlign w:val="center"/>
            <w:hideMark/>
          </w:tcPr>
          <w:p w14:paraId="5D200BA6"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59" w:type="dxa"/>
            <w:tcBorders>
              <w:top w:val="nil"/>
              <w:left w:val="nil"/>
              <w:bottom w:val="nil"/>
              <w:right w:val="single" w:sz="8" w:space="0" w:color="auto"/>
            </w:tcBorders>
            <w:shd w:val="clear" w:color="auto" w:fill="auto"/>
            <w:vAlign w:val="center"/>
            <w:hideMark/>
          </w:tcPr>
          <w:p w14:paraId="316BD219"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240" w:type="dxa"/>
            <w:tcBorders>
              <w:top w:val="nil"/>
              <w:left w:val="nil"/>
              <w:bottom w:val="nil"/>
              <w:right w:val="single" w:sz="8" w:space="0" w:color="auto"/>
            </w:tcBorders>
            <w:shd w:val="clear" w:color="auto" w:fill="auto"/>
            <w:vAlign w:val="center"/>
            <w:hideMark/>
          </w:tcPr>
          <w:p w14:paraId="1067C70D"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90" w:type="dxa"/>
            <w:tcBorders>
              <w:top w:val="nil"/>
              <w:left w:val="nil"/>
              <w:bottom w:val="nil"/>
              <w:right w:val="single" w:sz="8" w:space="0" w:color="auto"/>
            </w:tcBorders>
            <w:shd w:val="clear" w:color="auto" w:fill="auto"/>
            <w:vAlign w:val="center"/>
            <w:hideMark/>
          </w:tcPr>
          <w:p w14:paraId="784BF983"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999" w:type="dxa"/>
            <w:tcBorders>
              <w:top w:val="nil"/>
              <w:left w:val="nil"/>
              <w:bottom w:val="nil"/>
              <w:right w:val="single" w:sz="8" w:space="0" w:color="auto"/>
            </w:tcBorders>
            <w:shd w:val="clear" w:color="auto" w:fill="auto"/>
            <w:vAlign w:val="center"/>
            <w:hideMark/>
          </w:tcPr>
          <w:p w14:paraId="15B014D9"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r>
      <w:tr w:rsidR="003F1246" w:rsidRPr="003F1246" w14:paraId="0CA51F3D" w14:textId="77777777" w:rsidTr="003F1246">
        <w:trPr>
          <w:trHeight w:val="330"/>
        </w:trPr>
        <w:tc>
          <w:tcPr>
            <w:tcW w:w="1754" w:type="dxa"/>
            <w:vMerge/>
            <w:tcBorders>
              <w:top w:val="nil"/>
              <w:left w:val="single" w:sz="8" w:space="0" w:color="auto"/>
              <w:bottom w:val="single" w:sz="8" w:space="0" w:color="000000"/>
              <w:right w:val="single" w:sz="8" w:space="0" w:color="auto"/>
            </w:tcBorders>
            <w:vAlign w:val="center"/>
            <w:hideMark/>
          </w:tcPr>
          <w:p w14:paraId="233B6FFA"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p>
        </w:tc>
        <w:tc>
          <w:tcPr>
            <w:tcW w:w="1299" w:type="dxa"/>
            <w:tcBorders>
              <w:top w:val="nil"/>
              <w:left w:val="nil"/>
              <w:bottom w:val="single" w:sz="8" w:space="0" w:color="auto"/>
              <w:right w:val="single" w:sz="8" w:space="0" w:color="auto"/>
            </w:tcBorders>
            <w:shd w:val="clear" w:color="auto" w:fill="auto"/>
            <w:vAlign w:val="center"/>
            <w:hideMark/>
          </w:tcPr>
          <w:p w14:paraId="3A438A2F"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136.446</w:t>
            </w:r>
          </w:p>
        </w:tc>
        <w:tc>
          <w:tcPr>
            <w:tcW w:w="1179" w:type="dxa"/>
            <w:tcBorders>
              <w:top w:val="nil"/>
              <w:left w:val="nil"/>
              <w:bottom w:val="single" w:sz="8" w:space="0" w:color="auto"/>
              <w:right w:val="single" w:sz="8" w:space="0" w:color="auto"/>
            </w:tcBorders>
            <w:shd w:val="clear" w:color="auto" w:fill="auto"/>
            <w:vAlign w:val="center"/>
            <w:hideMark/>
          </w:tcPr>
          <w:p w14:paraId="4C190809"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79.560</w:t>
            </w:r>
          </w:p>
        </w:tc>
        <w:tc>
          <w:tcPr>
            <w:tcW w:w="1159" w:type="dxa"/>
            <w:tcBorders>
              <w:top w:val="nil"/>
              <w:left w:val="nil"/>
              <w:bottom w:val="single" w:sz="8" w:space="0" w:color="auto"/>
              <w:right w:val="single" w:sz="8" w:space="0" w:color="auto"/>
            </w:tcBorders>
            <w:shd w:val="clear" w:color="auto" w:fill="auto"/>
            <w:vAlign w:val="center"/>
            <w:hideMark/>
          </w:tcPr>
          <w:p w14:paraId="77562EBD"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154.550</w:t>
            </w:r>
          </w:p>
        </w:tc>
        <w:tc>
          <w:tcPr>
            <w:tcW w:w="1240" w:type="dxa"/>
            <w:tcBorders>
              <w:top w:val="nil"/>
              <w:left w:val="nil"/>
              <w:bottom w:val="single" w:sz="8" w:space="0" w:color="auto"/>
              <w:right w:val="single" w:sz="8" w:space="0" w:color="auto"/>
            </w:tcBorders>
            <w:shd w:val="clear" w:color="auto" w:fill="auto"/>
            <w:vAlign w:val="center"/>
            <w:hideMark/>
          </w:tcPr>
          <w:p w14:paraId="404BF0F6"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130.400</w:t>
            </w:r>
          </w:p>
        </w:tc>
        <w:tc>
          <w:tcPr>
            <w:tcW w:w="1190" w:type="dxa"/>
            <w:tcBorders>
              <w:top w:val="nil"/>
              <w:left w:val="nil"/>
              <w:bottom w:val="single" w:sz="8" w:space="0" w:color="auto"/>
              <w:right w:val="single" w:sz="8" w:space="0" w:color="auto"/>
            </w:tcBorders>
            <w:shd w:val="clear" w:color="auto" w:fill="auto"/>
            <w:vAlign w:val="center"/>
            <w:hideMark/>
          </w:tcPr>
          <w:p w14:paraId="3C67E136"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70.500</w:t>
            </w:r>
          </w:p>
        </w:tc>
        <w:tc>
          <w:tcPr>
            <w:tcW w:w="999" w:type="dxa"/>
            <w:tcBorders>
              <w:top w:val="nil"/>
              <w:left w:val="nil"/>
              <w:bottom w:val="single" w:sz="8" w:space="0" w:color="auto"/>
              <w:right w:val="single" w:sz="8" w:space="0" w:color="auto"/>
            </w:tcBorders>
            <w:shd w:val="clear" w:color="auto" w:fill="auto"/>
            <w:vAlign w:val="center"/>
            <w:hideMark/>
          </w:tcPr>
          <w:p w14:paraId="7837B845"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194,26</w:t>
            </w:r>
          </w:p>
        </w:tc>
      </w:tr>
      <w:tr w:rsidR="003F1246" w:rsidRPr="003F1246" w14:paraId="61499447" w14:textId="77777777" w:rsidTr="003F1246">
        <w:trPr>
          <w:trHeight w:val="315"/>
        </w:trPr>
        <w:tc>
          <w:tcPr>
            <w:tcW w:w="1754" w:type="dxa"/>
            <w:tcBorders>
              <w:top w:val="nil"/>
              <w:left w:val="single" w:sz="8" w:space="0" w:color="auto"/>
              <w:bottom w:val="nil"/>
              <w:right w:val="single" w:sz="8" w:space="0" w:color="auto"/>
            </w:tcBorders>
            <w:shd w:val="clear" w:color="auto" w:fill="auto"/>
            <w:vAlign w:val="center"/>
            <w:hideMark/>
          </w:tcPr>
          <w:p w14:paraId="35AC177D"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xml:space="preserve">A679078 </w:t>
            </w:r>
          </w:p>
        </w:tc>
        <w:tc>
          <w:tcPr>
            <w:tcW w:w="1299" w:type="dxa"/>
            <w:tcBorders>
              <w:top w:val="nil"/>
              <w:left w:val="nil"/>
              <w:bottom w:val="nil"/>
              <w:right w:val="single" w:sz="8" w:space="0" w:color="auto"/>
            </w:tcBorders>
            <w:shd w:val="clear" w:color="auto" w:fill="auto"/>
            <w:vAlign w:val="center"/>
            <w:hideMark/>
          </w:tcPr>
          <w:p w14:paraId="260DF652"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79" w:type="dxa"/>
            <w:tcBorders>
              <w:top w:val="nil"/>
              <w:left w:val="nil"/>
              <w:bottom w:val="nil"/>
              <w:right w:val="single" w:sz="8" w:space="0" w:color="auto"/>
            </w:tcBorders>
            <w:shd w:val="clear" w:color="auto" w:fill="auto"/>
            <w:vAlign w:val="center"/>
            <w:hideMark/>
          </w:tcPr>
          <w:p w14:paraId="00AF6E73"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59" w:type="dxa"/>
            <w:tcBorders>
              <w:top w:val="nil"/>
              <w:left w:val="nil"/>
              <w:bottom w:val="nil"/>
              <w:right w:val="single" w:sz="8" w:space="0" w:color="auto"/>
            </w:tcBorders>
            <w:shd w:val="clear" w:color="auto" w:fill="auto"/>
            <w:vAlign w:val="center"/>
            <w:hideMark/>
          </w:tcPr>
          <w:p w14:paraId="652CF044"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240" w:type="dxa"/>
            <w:tcBorders>
              <w:top w:val="nil"/>
              <w:left w:val="nil"/>
              <w:bottom w:val="nil"/>
              <w:right w:val="single" w:sz="8" w:space="0" w:color="auto"/>
            </w:tcBorders>
            <w:shd w:val="clear" w:color="auto" w:fill="auto"/>
            <w:vAlign w:val="center"/>
            <w:hideMark/>
          </w:tcPr>
          <w:p w14:paraId="080A4D47"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1190" w:type="dxa"/>
            <w:tcBorders>
              <w:top w:val="nil"/>
              <w:left w:val="nil"/>
              <w:bottom w:val="nil"/>
              <w:right w:val="single" w:sz="8" w:space="0" w:color="auto"/>
            </w:tcBorders>
            <w:shd w:val="clear" w:color="auto" w:fill="auto"/>
            <w:vAlign w:val="center"/>
            <w:hideMark/>
          </w:tcPr>
          <w:p w14:paraId="0E43634E"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c>
          <w:tcPr>
            <w:tcW w:w="999" w:type="dxa"/>
            <w:tcBorders>
              <w:top w:val="nil"/>
              <w:left w:val="nil"/>
              <w:bottom w:val="nil"/>
              <w:right w:val="single" w:sz="8" w:space="0" w:color="auto"/>
            </w:tcBorders>
            <w:shd w:val="clear" w:color="auto" w:fill="auto"/>
            <w:vAlign w:val="center"/>
            <w:hideMark/>
          </w:tcPr>
          <w:p w14:paraId="4A4557E4"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 </w:t>
            </w:r>
          </w:p>
        </w:tc>
      </w:tr>
      <w:tr w:rsidR="003F1246" w:rsidRPr="003F1246" w14:paraId="7C5DE591" w14:textId="77777777" w:rsidTr="003F1246">
        <w:trPr>
          <w:trHeight w:val="330"/>
        </w:trPr>
        <w:tc>
          <w:tcPr>
            <w:tcW w:w="1754" w:type="dxa"/>
            <w:tcBorders>
              <w:top w:val="nil"/>
              <w:left w:val="single" w:sz="8" w:space="0" w:color="auto"/>
              <w:bottom w:val="single" w:sz="8" w:space="0" w:color="auto"/>
              <w:right w:val="single" w:sz="8" w:space="0" w:color="auto"/>
            </w:tcBorders>
            <w:shd w:val="clear" w:color="auto" w:fill="auto"/>
            <w:vAlign w:val="center"/>
            <w:hideMark/>
          </w:tcPr>
          <w:p w14:paraId="5ECA4873" w14:textId="77777777" w:rsidR="003F1246" w:rsidRPr="003F1246" w:rsidRDefault="003F1246" w:rsidP="003F1246">
            <w:pPr>
              <w:spacing w:after="0" w:line="240" w:lineRule="auto"/>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pomoći EU - 52</w:t>
            </w:r>
          </w:p>
        </w:tc>
        <w:tc>
          <w:tcPr>
            <w:tcW w:w="1299" w:type="dxa"/>
            <w:tcBorders>
              <w:top w:val="nil"/>
              <w:left w:val="nil"/>
              <w:bottom w:val="single" w:sz="8" w:space="0" w:color="auto"/>
              <w:right w:val="single" w:sz="8" w:space="0" w:color="auto"/>
            </w:tcBorders>
            <w:shd w:val="clear" w:color="auto" w:fill="auto"/>
            <w:vAlign w:val="center"/>
            <w:hideMark/>
          </w:tcPr>
          <w:p w14:paraId="114A49C2"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287.745</w:t>
            </w:r>
          </w:p>
        </w:tc>
        <w:tc>
          <w:tcPr>
            <w:tcW w:w="1179" w:type="dxa"/>
            <w:tcBorders>
              <w:top w:val="nil"/>
              <w:left w:val="nil"/>
              <w:bottom w:val="single" w:sz="8" w:space="0" w:color="auto"/>
              <w:right w:val="single" w:sz="8" w:space="0" w:color="auto"/>
            </w:tcBorders>
            <w:shd w:val="clear" w:color="auto" w:fill="auto"/>
            <w:vAlign w:val="center"/>
            <w:hideMark/>
          </w:tcPr>
          <w:p w14:paraId="69FC531E"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138.239</w:t>
            </w:r>
          </w:p>
        </w:tc>
        <w:tc>
          <w:tcPr>
            <w:tcW w:w="1159" w:type="dxa"/>
            <w:tcBorders>
              <w:top w:val="nil"/>
              <w:left w:val="nil"/>
              <w:bottom w:val="single" w:sz="8" w:space="0" w:color="auto"/>
              <w:right w:val="single" w:sz="8" w:space="0" w:color="auto"/>
            </w:tcBorders>
            <w:shd w:val="clear" w:color="auto" w:fill="auto"/>
            <w:vAlign w:val="center"/>
            <w:hideMark/>
          </w:tcPr>
          <w:p w14:paraId="100D9638"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0</w:t>
            </w:r>
          </w:p>
        </w:tc>
        <w:tc>
          <w:tcPr>
            <w:tcW w:w="1240" w:type="dxa"/>
            <w:tcBorders>
              <w:top w:val="nil"/>
              <w:left w:val="nil"/>
              <w:bottom w:val="single" w:sz="8" w:space="0" w:color="auto"/>
              <w:right w:val="single" w:sz="8" w:space="0" w:color="auto"/>
            </w:tcBorders>
            <w:shd w:val="clear" w:color="auto" w:fill="auto"/>
            <w:vAlign w:val="center"/>
            <w:hideMark/>
          </w:tcPr>
          <w:p w14:paraId="7448A088"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0</w:t>
            </w:r>
          </w:p>
        </w:tc>
        <w:tc>
          <w:tcPr>
            <w:tcW w:w="1190" w:type="dxa"/>
            <w:tcBorders>
              <w:top w:val="nil"/>
              <w:left w:val="nil"/>
              <w:bottom w:val="single" w:sz="8" w:space="0" w:color="auto"/>
              <w:right w:val="single" w:sz="8" w:space="0" w:color="auto"/>
            </w:tcBorders>
            <w:shd w:val="clear" w:color="auto" w:fill="auto"/>
            <w:vAlign w:val="center"/>
            <w:hideMark/>
          </w:tcPr>
          <w:p w14:paraId="21437878"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0</w:t>
            </w:r>
          </w:p>
        </w:tc>
        <w:tc>
          <w:tcPr>
            <w:tcW w:w="999" w:type="dxa"/>
            <w:tcBorders>
              <w:top w:val="nil"/>
              <w:left w:val="nil"/>
              <w:bottom w:val="single" w:sz="8" w:space="0" w:color="auto"/>
              <w:right w:val="single" w:sz="8" w:space="0" w:color="auto"/>
            </w:tcBorders>
            <w:shd w:val="clear" w:color="auto" w:fill="auto"/>
            <w:vAlign w:val="center"/>
            <w:hideMark/>
          </w:tcPr>
          <w:p w14:paraId="34715F33" w14:textId="77777777" w:rsidR="003F1246" w:rsidRPr="003F1246" w:rsidRDefault="003F1246" w:rsidP="003F1246">
            <w:pPr>
              <w:spacing w:after="0" w:line="240" w:lineRule="auto"/>
              <w:jc w:val="right"/>
              <w:rPr>
                <w:rFonts w:ascii="Times New Roman" w:eastAsia="Times New Roman" w:hAnsi="Times New Roman" w:cs="Times New Roman"/>
                <w:color w:val="000000"/>
                <w:sz w:val="24"/>
                <w:szCs w:val="24"/>
                <w:lang w:val="en-US"/>
              </w:rPr>
            </w:pPr>
            <w:r w:rsidRPr="003F1246">
              <w:rPr>
                <w:rFonts w:ascii="Times New Roman" w:eastAsia="Times New Roman" w:hAnsi="Times New Roman" w:cs="Times New Roman"/>
                <w:color w:val="000000"/>
                <w:sz w:val="24"/>
                <w:szCs w:val="24"/>
                <w:lang w:val="en-US"/>
              </w:rPr>
              <w:t>-</w:t>
            </w:r>
          </w:p>
        </w:tc>
      </w:tr>
    </w:tbl>
    <w:p w14:paraId="393CD4CD" w14:textId="77777777" w:rsidR="00256D2E" w:rsidRPr="00927915" w:rsidRDefault="00256D2E" w:rsidP="00CA622B">
      <w:pPr>
        <w:spacing w:line="360" w:lineRule="auto"/>
        <w:jc w:val="both"/>
        <w:rPr>
          <w:rFonts w:ascii="Times New Roman" w:hAnsi="Times New Roman" w:cs="Times New Roman"/>
          <w:sz w:val="24"/>
          <w:szCs w:val="24"/>
        </w:rPr>
      </w:pPr>
    </w:p>
    <w:p w14:paraId="6DBC9051" w14:textId="77777777" w:rsidR="00356CF3" w:rsidRDefault="00356CF3" w:rsidP="00021EB7">
      <w:pPr>
        <w:spacing w:line="360" w:lineRule="auto"/>
        <w:jc w:val="both"/>
        <w:rPr>
          <w:rFonts w:ascii="Times New Roman" w:hAnsi="Times New Roman" w:cs="Times New Roman"/>
          <w:sz w:val="24"/>
          <w:szCs w:val="24"/>
        </w:rPr>
      </w:pPr>
      <w:r w:rsidRPr="00356CF3">
        <w:rPr>
          <w:rFonts w:ascii="Times New Roman" w:hAnsi="Times New Roman" w:cs="Times New Roman"/>
          <w:sz w:val="24"/>
          <w:szCs w:val="24"/>
        </w:rPr>
        <w:t>U okviru aktivnosti A679078- pomoći EU-51 planirani su prihodi i troškovi projekata započeti</w:t>
      </w:r>
      <w:r w:rsidR="00AA07BE">
        <w:rPr>
          <w:rFonts w:ascii="Times New Roman" w:hAnsi="Times New Roman" w:cs="Times New Roman"/>
          <w:sz w:val="24"/>
          <w:szCs w:val="24"/>
        </w:rPr>
        <w:t xml:space="preserve">h 2022. godine projekt LIFE </w:t>
      </w:r>
      <w:r w:rsidRPr="00356CF3">
        <w:rPr>
          <w:rFonts w:ascii="Times New Roman" w:hAnsi="Times New Roman" w:cs="Times New Roman"/>
          <w:sz w:val="24"/>
          <w:szCs w:val="24"/>
        </w:rPr>
        <w:t xml:space="preserve">WOLF i Horizon projekt „Best practices and inovations for a sustainable beekeeping in Europe B-THENET Thematic network“. Tematska mreža B-THENET provodi pristup s više partnera za modernizaciju pčelarskog sektora u EU-u, razmjenjujući znanje koje je spremno za primjenu u praksi, istovremeno potičući inovacije i </w:t>
      </w:r>
      <w:r w:rsidRPr="00356CF3">
        <w:rPr>
          <w:rFonts w:ascii="Times New Roman" w:hAnsi="Times New Roman" w:cs="Times New Roman"/>
          <w:sz w:val="24"/>
          <w:szCs w:val="24"/>
        </w:rPr>
        <w:lastRenderedPageBreak/>
        <w:t>digitalizaciju. Pčelari će se pomaknuti prema ekonomski održivijem i održivijem pčelarstvu kroz razmjenu znanja i obuku korisnih i primjenjivih najboljih praksi.</w:t>
      </w:r>
    </w:p>
    <w:p w14:paraId="75F95714" w14:textId="77777777" w:rsidR="00954958" w:rsidRDefault="00021EB7" w:rsidP="00021EB7">
      <w:pPr>
        <w:spacing w:line="360" w:lineRule="auto"/>
        <w:jc w:val="both"/>
        <w:rPr>
          <w:rFonts w:ascii="Times New Roman" w:hAnsi="Times New Roman" w:cs="Times New Roman"/>
          <w:sz w:val="24"/>
          <w:szCs w:val="24"/>
        </w:rPr>
      </w:pPr>
      <w:r w:rsidRPr="00021EB7">
        <w:rPr>
          <w:rFonts w:ascii="Times New Roman" w:hAnsi="Times New Roman" w:cs="Times New Roman"/>
          <w:sz w:val="24"/>
          <w:szCs w:val="24"/>
        </w:rPr>
        <w:t>Projekt “Konkretne akcije za očuvanje divljih vukova u antropogenim krajolicima Europe”, skraćenog naziva „WILD WOLF“ sufinanciran je u okviru programa EU LIFE. Projekt će trajati gotovo</w:t>
      </w:r>
      <w:r>
        <w:rPr>
          <w:rFonts w:ascii="Times New Roman" w:hAnsi="Times New Roman" w:cs="Times New Roman"/>
          <w:sz w:val="24"/>
          <w:szCs w:val="24"/>
        </w:rPr>
        <w:t xml:space="preserve"> pet godina (do kolovoza 2027..</w:t>
      </w:r>
      <w:r w:rsidRPr="00021EB7">
        <w:rPr>
          <w:rFonts w:ascii="Times New Roman" w:hAnsi="Times New Roman" w:cs="Times New Roman"/>
          <w:sz w:val="24"/>
          <w:szCs w:val="24"/>
        </w:rPr>
        <w:t>Veterinarski fakultet dio je multidisciplinarnog konzorcija koji uključuje jedinice visokog obrazovanja i istraživačke centre, ministarstva i lokalne vlasti, zaštićena područja, lovačke udruge i ostale nevladine organizac</w:t>
      </w:r>
      <w:r>
        <w:rPr>
          <w:rFonts w:ascii="Times New Roman" w:hAnsi="Times New Roman" w:cs="Times New Roman"/>
          <w:sz w:val="24"/>
          <w:szCs w:val="24"/>
        </w:rPr>
        <w:t>ije iz devet europskih zemalja.</w:t>
      </w:r>
      <w:r w:rsidR="00356CF3">
        <w:rPr>
          <w:rFonts w:ascii="Times New Roman" w:hAnsi="Times New Roman" w:cs="Times New Roman"/>
          <w:sz w:val="24"/>
          <w:szCs w:val="24"/>
        </w:rPr>
        <w:t xml:space="preserve"> </w:t>
      </w:r>
      <w:r w:rsidRPr="00021EB7">
        <w:rPr>
          <w:rFonts w:ascii="Times New Roman" w:hAnsi="Times New Roman" w:cs="Times New Roman"/>
          <w:sz w:val="24"/>
          <w:szCs w:val="24"/>
        </w:rPr>
        <w:t>U Hrvatskoj će projekt zajedno provoditi Veterinarski fakultet (VEF) i Hrvatski lovački savez (HLS) u urbanim i peri urbanim pod</w:t>
      </w:r>
      <w:r>
        <w:rPr>
          <w:rFonts w:ascii="Times New Roman" w:hAnsi="Times New Roman" w:cs="Times New Roman"/>
          <w:sz w:val="24"/>
          <w:szCs w:val="24"/>
        </w:rPr>
        <w:t>ručjima Hrvatske.</w:t>
      </w:r>
      <w:r w:rsidRPr="00021EB7">
        <w:rPr>
          <w:rFonts w:ascii="Times New Roman" w:hAnsi="Times New Roman" w:cs="Times New Roman"/>
          <w:sz w:val="24"/>
          <w:szCs w:val="24"/>
        </w:rPr>
        <w:t>Projekt će se također provoditi u Njemačkoj, Švedskoj, Češkoj, Sloveniji, Italiji, Grčkoj i Portugalu, obuhvaćajući sedam populacija vukova u EU. Prisutnost divljih životinja u blizini ljudskih naselja rastući je fenomen u mnogim zemljama EU-a i često dovodi do kritičnih situacija percipirane ili stvarne opasnosti. Malo je zemalja EU-a spremno riješiti takve situacije jasnim i provjerenim protokolima. Projekt LIFE WILD WOLF ima za cilj razvoj i testiranje takvih protokola na temelju najveć</w:t>
      </w:r>
      <w:r>
        <w:rPr>
          <w:rFonts w:ascii="Times New Roman" w:hAnsi="Times New Roman" w:cs="Times New Roman"/>
          <w:sz w:val="24"/>
          <w:szCs w:val="24"/>
        </w:rPr>
        <w:t>eg mogućeg broja slučajeva.</w:t>
      </w:r>
      <w:r w:rsidR="00356CF3">
        <w:rPr>
          <w:rFonts w:ascii="Times New Roman" w:hAnsi="Times New Roman" w:cs="Times New Roman"/>
          <w:sz w:val="24"/>
          <w:szCs w:val="24"/>
        </w:rPr>
        <w:t xml:space="preserve"> </w:t>
      </w:r>
      <w:r w:rsidRPr="00021EB7">
        <w:rPr>
          <w:rFonts w:ascii="Times New Roman" w:hAnsi="Times New Roman" w:cs="Times New Roman"/>
          <w:sz w:val="24"/>
          <w:szCs w:val="24"/>
        </w:rPr>
        <w:t>Cilj projekta je razviti čvrstu tehničku osnovu, razvijanjem operativnih protokola koji će se testirati i procijeniti u pogledu učinkovitosti. Krajnji cilj je dati značajan doprinos što adekvatnijem upravljanju kritičnim situacijama približavanja divljih životinja čovjeku u urbanim i periurbanim područjima.</w:t>
      </w:r>
    </w:p>
    <w:p w14:paraId="798E8A94" w14:textId="77777777" w:rsidR="003935F1" w:rsidRPr="003935F1" w:rsidRDefault="003935F1" w:rsidP="003935F1">
      <w:pPr>
        <w:spacing w:line="360" w:lineRule="auto"/>
        <w:jc w:val="both"/>
        <w:rPr>
          <w:rFonts w:ascii="Times New Roman" w:hAnsi="Times New Roman" w:cs="Times New Roman"/>
          <w:sz w:val="24"/>
          <w:szCs w:val="24"/>
        </w:rPr>
      </w:pPr>
      <w:r w:rsidRPr="003935F1">
        <w:rPr>
          <w:rFonts w:ascii="Times New Roman" w:hAnsi="Times New Roman" w:cs="Times New Roman"/>
          <w:sz w:val="24"/>
          <w:szCs w:val="24"/>
        </w:rPr>
        <w:t>SAMESEA – Sustainable Management of Marine Sentinel Species and Human Activities Interaction (IPA-ADRION00096)</w:t>
      </w:r>
    </w:p>
    <w:p w14:paraId="6C675AC1" w14:textId="77777777" w:rsidR="003935F1" w:rsidRDefault="003935F1" w:rsidP="003935F1">
      <w:pPr>
        <w:spacing w:line="360" w:lineRule="auto"/>
        <w:jc w:val="both"/>
        <w:rPr>
          <w:rFonts w:ascii="Times New Roman" w:hAnsi="Times New Roman" w:cs="Times New Roman"/>
          <w:sz w:val="24"/>
          <w:szCs w:val="24"/>
        </w:rPr>
      </w:pPr>
      <w:r>
        <w:rPr>
          <w:rFonts w:ascii="Times New Roman" w:hAnsi="Times New Roman" w:cs="Times New Roman"/>
          <w:sz w:val="24"/>
          <w:szCs w:val="24"/>
        </w:rPr>
        <w:t>Veterinarski fakultet</w:t>
      </w:r>
      <w:r w:rsidRPr="003935F1">
        <w:rPr>
          <w:rFonts w:ascii="Times New Roman" w:hAnsi="Times New Roman" w:cs="Times New Roman"/>
          <w:sz w:val="24"/>
          <w:szCs w:val="24"/>
        </w:rPr>
        <w:t xml:space="preserve"> partner je na projektu SAMESEA koji se provodi u suradnji s 11 partnera iz Italije, Slovenije, Crne Gore, Bosne i Hercegovine, Albanije, Grčke i Hrvatske, a koordinator je Nacionalni međusveučilišni konzorcij za znanosti o moru (CoNISMa) iz Italije. Projekt obuhvaća i 20 pridruženih partnera iz istih zemalja. Projekt je nastao uslijed potrebe za međunarodnom harmonizacijom primjene programa praćenja u morskom okolišu i koordinacije primjene odabrane metodologije u zemljama jadransko-jonske regije (EUSAIR) te kako bi se poboljšala komunikacija dionika koji pripadaju sektorima koji obuhvaćaju ekonomske aktivnosti i zaštitu bioraznolikosti u moru.</w:t>
      </w:r>
    </w:p>
    <w:p w14:paraId="54119C37" w14:textId="77777777" w:rsidR="00E07A85" w:rsidRDefault="003935F1" w:rsidP="00BE2B24">
      <w:pPr>
        <w:spacing w:line="360" w:lineRule="auto"/>
        <w:jc w:val="both"/>
        <w:rPr>
          <w:rFonts w:ascii="Times New Roman" w:hAnsi="Times New Roman" w:cs="Times New Roman"/>
          <w:sz w:val="24"/>
          <w:szCs w:val="24"/>
        </w:rPr>
      </w:pPr>
      <w:r>
        <w:rPr>
          <w:rFonts w:ascii="Times New Roman" w:hAnsi="Times New Roman" w:cs="Times New Roman"/>
          <w:sz w:val="24"/>
          <w:szCs w:val="24"/>
        </w:rPr>
        <w:t>Glavni cilj projekta je</w:t>
      </w:r>
      <w:r w:rsidR="00703EB4" w:rsidRPr="00703EB4">
        <w:rPr>
          <w:rFonts w:ascii="Times New Roman" w:hAnsi="Times New Roman" w:cs="Times New Roman"/>
          <w:sz w:val="24"/>
          <w:szCs w:val="24"/>
        </w:rPr>
        <w:t xml:space="preserve"> poboljšati i transnacionalnu harmonizaciju primjene morskog prakse praćenja i koordinacije među različitim regijama koje graniče s regijom, ali također i poboljšati ograničeni dijalog koji se odvija između gospodarskih aktivnosti i očuvanja morske bioraznolikosti. Bioraznolikost pati od onečišćenja vode, pomorskog prometa i izravnog i </w:t>
      </w:r>
      <w:r w:rsidR="00703EB4" w:rsidRPr="00703EB4">
        <w:rPr>
          <w:rFonts w:ascii="Times New Roman" w:hAnsi="Times New Roman" w:cs="Times New Roman"/>
          <w:sz w:val="24"/>
          <w:szCs w:val="24"/>
        </w:rPr>
        <w:lastRenderedPageBreak/>
        <w:t>neizravno propadanja staništa. Ovi izazovi utječu i na nacionalne i na regionalne vlasti koje imaju različiti pristupi provedbi propisa i sporazuma, ali i gospodarskih dionika i šire javnosti jer ako nema održivog gospodarenja i međudjelovanja, morska biološka raznolikost smanjit će se i više se neće moći koristiti za aktivnosti poput turizma i ribolova. SAMESEA se temelji na uvjerenju da ako se morem ne upravlja održivo, ljudske aktivnosti se neće moći nastaviti, a tijekom godina će se morske vrste sve više smanjivati. Suradnja je ključna kako na makroregionalnoj teritorijalnoj razini, tako i među različitim dionicima s interesom za stvaranje funkcionalnog i održivog suživota, a time i upravljanja. Zato je suradnja s nacionalnim i regionalnim vlastima, istraživačkim centrima, nevladinim organizacijama i sektorskim agencija ključna za pokretanje nove razine konfrontacije, kapitalizacije i suradnje. Konzorcij će izraditi strategiju za praćenje sentinel vrsta, pilot akcije za njihovo testiranje, rješenja za širenje praksi suživota i akcijski plan za poboljšanje održivog upravljanje Jadranskim morem. Konzorcij će primijenjivati metodologije praćenja, učiti o dobrim praksama suživota, te se međusobno umrežiti. SAMESEA će poboljšati održivo upravljanje interakcijama između kontrolnih vrsta i ljudskih aktivnosti putem kapitaliziranja, dijeljenja i umrežavanja dionika kojima je stalo do dobrobiti ekosustava makro regije Jadranskog mora.</w:t>
      </w:r>
    </w:p>
    <w:p w14:paraId="42A2DECB" w14:textId="77777777" w:rsidR="003935F1" w:rsidRPr="003935F1" w:rsidRDefault="003935F1" w:rsidP="003935F1">
      <w:pPr>
        <w:spacing w:line="360" w:lineRule="auto"/>
        <w:jc w:val="both"/>
        <w:rPr>
          <w:rFonts w:ascii="Times New Roman" w:hAnsi="Times New Roman" w:cs="Times New Roman"/>
          <w:sz w:val="24"/>
          <w:szCs w:val="24"/>
        </w:rPr>
      </w:pPr>
      <w:r w:rsidRPr="003935F1">
        <w:rPr>
          <w:rFonts w:ascii="Times New Roman" w:hAnsi="Times New Roman" w:cs="Times New Roman"/>
          <w:sz w:val="24"/>
          <w:szCs w:val="24"/>
        </w:rPr>
        <w:t>Trajanje projekta: 1.9.2024. – 28.2.2027.</w:t>
      </w:r>
    </w:p>
    <w:p w14:paraId="7D49F266" w14:textId="77777777" w:rsidR="003935F1" w:rsidRDefault="003935F1" w:rsidP="003935F1">
      <w:pPr>
        <w:spacing w:line="360" w:lineRule="auto"/>
        <w:jc w:val="both"/>
        <w:rPr>
          <w:rFonts w:ascii="Times New Roman" w:hAnsi="Times New Roman" w:cs="Times New Roman"/>
          <w:sz w:val="24"/>
          <w:szCs w:val="24"/>
        </w:rPr>
      </w:pPr>
      <w:r w:rsidRPr="003935F1">
        <w:rPr>
          <w:rFonts w:ascii="Times New Roman" w:hAnsi="Times New Roman" w:cs="Times New Roman"/>
          <w:sz w:val="24"/>
          <w:szCs w:val="24"/>
        </w:rPr>
        <w:t>Ukupni proračun projekta: 1.763.955,50 €</w:t>
      </w:r>
    </w:p>
    <w:p w14:paraId="2D4E555B" w14:textId="12C3C8EB" w:rsidR="00DD0235" w:rsidRDefault="00852161" w:rsidP="00852161">
      <w:pPr>
        <w:spacing w:line="360" w:lineRule="auto"/>
        <w:jc w:val="both"/>
        <w:rPr>
          <w:rFonts w:ascii="Times New Roman" w:hAnsi="Times New Roman" w:cs="Times New Roman"/>
          <w:sz w:val="24"/>
          <w:szCs w:val="24"/>
        </w:rPr>
      </w:pPr>
      <w:r w:rsidRPr="00852161">
        <w:rPr>
          <w:rFonts w:ascii="Times New Roman" w:hAnsi="Times New Roman" w:cs="Times New Roman"/>
          <w:sz w:val="24"/>
          <w:szCs w:val="24"/>
        </w:rPr>
        <w:t xml:space="preserve">VETCOM </w:t>
      </w:r>
      <w:r w:rsidR="00DD0235">
        <w:rPr>
          <w:rFonts w:ascii="Times New Roman" w:hAnsi="Times New Roman" w:cs="Times New Roman"/>
          <w:sz w:val="24"/>
          <w:szCs w:val="24"/>
        </w:rPr>
        <w:t>–</w:t>
      </w:r>
      <w:r w:rsidRPr="00852161">
        <w:rPr>
          <w:rFonts w:ascii="Times New Roman" w:hAnsi="Times New Roman" w:cs="Times New Roman"/>
          <w:sz w:val="24"/>
          <w:szCs w:val="24"/>
        </w:rPr>
        <w:t xml:space="preserve"> </w:t>
      </w:r>
      <w:r w:rsidR="00DD0235" w:rsidRPr="00DD0235">
        <w:rPr>
          <w:rFonts w:ascii="Times New Roman" w:hAnsi="Times New Roman" w:cs="Times New Roman"/>
          <w:sz w:val="24"/>
          <w:szCs w:val="24"/>
        </w:rPr>
        <w:t>Reaching beyond borders: Enhancing communication and english proficiency in veterinary medicine education</w:t>
      </w:r>
    </w:p>
    <w:p w14:paraId="18E53F66" w14:textId="54A08655" w:rsidR="00852161" w:rsidRPr="00852161" w:rsidRDefault="00852161" w:rsidP="00852161">
      <w:pPr>
        <w:spacing w:line="360" w:lineRule="auto"/>
        <w:jc w:val="both"/>
        <w:rPr>
          <w:rFonts w:ascii="Times New Roman" w:hAnsi="Times New Roman" w:cs="Times New Roman"/>
          <w:sz w:val="24"/>
          <w:szCs w:val="24"/>
        </w:rPr>
      </w:pPr>
      <w:r w:rsidRPr="00852161">
        <w:rPr>
          <w:rFonts w:ascii="Times New Roman" w:hAnsi="Times New Roman" w:cs="Times New Roman"/>
          <w:sz w:val="24"/>
          <w:szCs w:val="24"/>
        </w:rPr>
        <w:t>Opći cilj ovog projekta je proizvesti visokokvalitetne stručnjake doktore veterinarske medicine kroz studij veterinarske medicine na engleskom jeziku. To će se postići projektnim aktivnostima koje uključuju  unaprjeđenje nastavnog plana i programa, znanja engleskog jezika i komunikacijskih vještina nastavnika i administrativnog osoblja na Veterinarskom fakultetu u Skopju u partnerstvu s Atlas Language School i Veterinarskim fakultetom u Zagrebu.</w:t>
      </w:r>
    </w:p>
    <w:p w14:paraId="2DBDE7C6" w14:textId="77777777" w:rsidR="00852161" w:rsidRPr="00852161" w:rsidRDefault="00852161" w:rsidP="00852161">
      <w:pPr>
        <w:spacing w:line="360" w:lineRule="auto"/>
        <w:jc w:val="both"/>
        <w:rPr>
          <w:rFonts w:ascii="Times New Roman" w:hAnsi="Times New Roman" w:cs="Times New Roman"/>
          <w:sz w:val="24"/>
          <w:szCs w:val="24"/>
        </w:rPr>
      </w:pPr>
      <w:r w:rsidRPr="00852161">
        <w:rPr>
          <w:rFonts w:ascii="Times New Roman" w:hAnsi="Times New Roman" w:cs="Times New Roman"/>
          <w:sz w:val="24"/>
          <w:szCs w:val="24"/>
        </w:rPr>
        <w:t>Provedba: Ključne aktivnosti ovog projekta uključuju izradu prilagođenog kurikuluma za tečaj engleskog jezika i komunikacijskih vještina za nastavnike veterinarske medicine. Također će se održati obuka za nastavno i administrativno osoblje na Veterinarskom fakultetu u Skopju. Projekt se nastavlja razmjenom iskustava s Veterinarskim Fakultetom u Zagrebu sa sličnim programom. Ovaj će proces završiti prijevodom, prilagodbom i digitalnom transformacijom nastavnih i administrativnih materijala na Veterinarskom fakultetu u Skopju.</w:t>
      </w:r>
    </w:p>
    <w:p w14:paraId="697167DA" w14:textId="77777777" w:rsidR="00852161" w:rsidRDefault="00852161" w:rsidP="00852161">
      <w:pPr>
        <w:spacing w:line="360" w:lineRule="auto"/>
        <w:jc w:val="both"/>
        <w:rPr>
          <w:rFonts w:ascii="Times New Roman" w:hAnsi="Times New Roman" w:cs="Times New Roman"/>
          <w:sz w:val="24"/>
          <w:szCs w:val="24"/>
        </w:rPr>
      </w:pPr>
      <w:r w:rsidRPr="00852161">
        <w:rPr>
          <w:rFonts w:ascii="Times New Roman" w:hAnsi="Times New Roman" w:cs="Times New Roman"/>
          <w:sz w:val="24"/>
          <w:szCs w:val="24"/>
        </w:rPr>
        <w:lastRenderedPageBreak/>
        <w:t>Rezultati: Rezultati projekta su novi, prilagođeni kurikulum za učenje engleskog jezika za nastavnike i administrativno osoblje koje radi i upisuje studij engleskog jezika na fakultetima veterinarske medicine; osposobljeno nastavno i administrativno osoblje za tematski specifičan vokabular na engleskom jeziku; unaprijeđen nastavni plan i program studija engleskog jezika na fakultetima veterinarske medicine; te digitalni pristup svim administrativnim i nastavnim materijalima na engleskom jeziku za studente na Veterinarskom fakultetu u Skopju.</w:t>
      </w:r>
    </w:p>
    <w:p w14:paraId="2F01B9DD" w14:textId="07ACB92C" w:rsidR="00DD0235" w:rsidRPr="00DD0235" w:rsidRDefault="00DD0235" w:rsidP="00DD0235">
      <w:pPr>
        <w:spacing w:line="360" w:lineRule="auto"/>
        <w:jc w:val="both"/>
        <w:rPr>
          <w:rFonts w:ascii="Times New Roman" w:hAnsi="Times New Roman" w:cs="Times New Roman"/>
          <w:sz w:val="24"/>
          <w:szCs w:val="24"/>
        </w:rPr>
      </w:pPr>
      <w:r w:rsidRPr="00DD0235">
        <w:rPr>
          <w:rFonts w:ascii="Times New Roman" w:hAnsi="Times New Roman" w:cs="Times New Roman"/>
          <w:sz w:val="24"/>
          <w:szCs w:val="24"/>
        </w:rPr>
        <w:t xml:space="preserve">Trajanje projekta: 1.9.2024. – </w:t>
      </w:r>
      <w:r>
        <w:rPr>
          <w:rFonts w:ascii="Times New Roman" w:hAnsi="Times New Roman" w:cs="Times New Roman"/>
          <w:sz w:val="24"/>
          <w:szCs w:val="24"/>
        </w:rPr>
        <w:t>31.8</w:t>
      </w:r>
      <w:r w:rsidRPr="00DD0235">
        <w:rPr>
          <w:rFonts w:ascii="Times New Roman" w:hAnsi="Times New Roman" w:cs="Times New Roman"/>
          <w:sz w:val="24"/>
          <w:szCs w:val="24"/>
        </w:rPr>
        <w:t>.202</w:t>
      </w:r>
      <w:r>
        <w:rPr>
          <w:rFonts w:ascii="Times New Roman" w:hAnsi="Times New Roman" w:cs="Times New Roman"/>
          <w:sz w:val="24"/>
          <w:szCs w:val="24"/>
        </w:rPr>
        <w:t>6</w:t>
      </w:r>
      <w:r w:rsidRPr="00DD0235">
        <w:rPr>
          <w:rFonts w:ascii="Times New Roman" w:hAnsi="Times New Roman" w:cs="Times New Roman"/>
          <w:sz w:val="24"/>
          <w:szCs w:val="24"/>
        </w:rPr>
        <w:t>.</w:t>
      </w:r>
    </w:p>
    <w:p w14:paraId="3E5E6F1A" w14:textId="3EC7CAA6" w:rsidR="00F42B90" w:rsidRDefault="00DD0235" w:rsidP="00DD0235">
      <w:pPr>
        <w:spacing w:line="360" w:lineRule="auto"/>
        <w:jc w:val="both"/>
        <w:rPr>
          <w:rFonts w:ascii="Times New Roman" w:hAnsi="Times New Roman" w:cs="Times New Roman"/>
          <w:sz w:val="24"/>
          <w:szCs w:val="24"/>
        </w:rPr>
      </w:pPr>
      <w:r w:rsidRPr="00DD0235">
        <w:rPr>
          <w:rFonts w:ascii="Times New Roman" w:hAnsi="Times New Roman" w:cs="Times New Roman"/>
          <w:sz w:val="24"/>
          <w:szCs w:val="24"/>
        </w:rPr>
        <w:t>Ukupni proračun projekta: 1</w:t>
      </w:r>
      <w:r>
        <w:rPr>
          <w:rFonts w:ascii="Times New Roman" w:hAnsi="Times New Roman" w:cs="Times New Roman"/>
          <w:sz w:val="24"/>
          <w:szCs w:val="24"/>
        </w:rPr>
        <w:t>20.000,0</w:t>
      </w:r>
      <w:r w:rsidRPr="00DD0235">
        <w:rPr>
          <w:rFonts w:ascii="Times New Roman" w:hAnsi="Times New Roman" w:cs="Times New Roman"/>
          <w:sz w:val="24"/>
          <w:szCs w:val="24"/>
        </w:rPr>
        <w:t>0 €</w:t>
      </w:r>
    </w:p>
    <w:p w14:paraId="2B640F52" w14:textId="7E314358" w:rsidR="00227D81" w:rsidRPr="00927915" w:rsidRDefault="00F42B90" w:rsidP="0012194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Pr="00F42B90">
        <w:rPr>
          <w:rFonts w:ascii="Times New Roman" w:hAnsi="Times New Roman" w:cs="Times New Roman"/>
          <w:sz w:val="24"/>
          <w:szCs w:val="24"/>
        </w:rPr>
        <w:t>Obrazloženje programa</w:t>
      </w:r>
      <w:r>
        <w:rPr>
          <w:rFonts w:ascii="Times New Roman" w:hAnsi="Times New Roman" w:cs="Times New Roman"/>
          <w:sz w:val="24"/>
          <w:szCs w:val="24"/>
        </w:rPr>
        <w:t xml:space="preserve"> – izvor 61 i 71</w:t>
      </w:r>
    </w:p>
    <w:p w14:paraId="68695C26" w14:textId="1B7FAA85" w:rsidR="00F42B90" w:rsidRPr="00F42B90" w:rsidRDefault="00F42B90" w:rsidP="00F42B90">
      <w:pPr>
        <w:spacing w:line="360" w:lineRule="auto"/>
        <w:jc w:val="both"/>
        <w:rPr>
          <w:rFonts w:ascii="Times New Roman" w:hAnsi="Times New Roman" w:cs="Times New Roman"/>
          <w:sz w:val="24"/>
          <w:szCs w:val="24"/>
        </w:rPr>
      </w:pPr>
      <w:r w:rsidRPr="00F42B90">
        <w:rPr>
          <w:rFonts w:ascii="Times New Roman" w:hAnsi="Times New Roman" w:cs="Times New Roman"/>
          <w:sz w:val="24"/>
          <w:szCs w:val="24"/>
        </w:rPr>
        <w:t xml:space="preserve">Na izvoru 61 planirani su prihodi od tekućih donacija neprofitnih organizacija za studentske programe te tekućih i kapitalnih donacija od trgovačkih društava. </w:t>
      </w:r>
    </w:p>
    <w:p w14:paraId="38AC859F" w14:textId="7B25FA5D" w:rsidR="00227D81" w:rsidRPr="00927915" w:rsidRDefault="00F42B90" w:rsidP="00F42B90">
      <w:pPr>
        <w:spacing w:line="360" w:lineRule="auto"/>
        <w:jc w:val="both"/>
        <w:rPr>
          <w:rFonts w:ascii="Times New Roman" w:hAnsi="Times New Roman" w:cs="Times New Roman"/>
          <w:sz w:val="24"/>
          <w:szCs w:val="24"/>
        </w:rPr>
      </w:pPr>
      <w:r w:rsidRPr="00F42B90">
        <w:rPr>
          <w:rFonts w:ascii="Times New Roman" w:hAnsi="Times New Roman" w:cs="Times New Roman"/>
          <w:sz w:val="24"/>
          <w:szCs w:val="24"/>
        </w:rPr>
        <w:t xml:space="preserve">Na izvoru 71 </w:t>
      </w:r>
      <w:r w:rsidR="005236FF">
        <w:rPr>
          <w:rFonts w:ascii="Times New Roman" w:hAnsi="Times New Roman" w:cs="Times New Roman"/>
          <w:sz w:val="24"/>
          <w:szCs w:val="24"/>
        </w:rPr>
        <w:t xml:space="preserve"> </w:t>
      </w:r>
      <w:r w:rsidRPr="00F42B90">
        <w:rPr>
          <w:rFonts w:ascii="Times New Roman" w:hAnsi="Times New Roman" w:cs="Times New Roman"/>
          <w:sz w:val="24"/>
          <w:szCs w:val="24"/>
        </w:rPr>
        <w:t>planirani su prihodi od otkupa stanova čiji će se prihod u potpunosti pokriti rashodima za tekuće održavanje imovine.</w:t>
      </w:r>
    </w:p>
    <w:sectPr w:rsidR="00227D81" w:rsidRPr="009279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8FA27" w14:textId="77777777" w:rsidR="00F568CD" w:rsidRDefault="00F568CD">
      <w:pPr>
        <w:spacing w:after="0" w:line="240" w:lineRule="auto"/>
      </w:pPr>
      <w:r>
        <w:separator/>
      </w:r>
    </w:p>
  </w:endnote>
  <w:endnote w:type="continuationSeparator" w:id="0">
    <w:p w14:paraId="7377DC8A" w14:textId="77777777" w:rsidR="00F568CD" w:rsidRDefault="00F5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515545"/>
      <w:docPartObj>
        <w:docPartGallery w:val="Page Numbers (Bottom of Page)"/>
        <w:docPartUnique/>
      </w:docPartObj>
    </w:sdtPr>
    <w:sdtContent>
      <w:p w14:paraId="2D8CB9A2" w14:textId="77777777" w:rsidR="002D4B6C" w:rsidRDefault="009E2203">
        <w:pPr>
          <w:pStyle w:val="Footer"/>
          <w:jc w:val="right"/>
        </w:pPr>
        <w:r>
          <w:fldChar w:fldCharType="begin"/>
        </w:r>
        <w:r>
          <w:instrText>PAGE   \* MERGEFORMAT</w:instrText>
        </w:r>
        <w:r>
          <w:fldChar w:fldCharType="separate"/>
        </w:r>
        <w:r w:rsidR="0004750B">
          <w:rPr>
            <w:noProof/>
          </w:rPr>
          <w:t>11</w:t>
        </w:r>
        <w:r>
          <w:fldChar w:fldCharType="end"/>
        </w:r>
      </w:p>
    </w:sdtContent>
  </w:sdt>
  <w:p w14:paraId="0ABA4D87" w14:textId="77777777" w:rsidR="002D4B6C" w:rsidRDefault="002D4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3D057" w14:textId="77777777" w:rsidR="00F568CD" w:rsidRDefault="00F568CD">
      <w:pPr>
        <w:spacing w:after="0" w:line="240" w:lineRule="auto"/>
      </w:pPr>
      <w:r>
        <w:separator/>
      </w:r>
    </w:p>
  </w:footnote>
  <w:footnote w:type="continuationSeparator" w:id="0">
    <w:p w14:paraId="0D6A2434" w14:textId="77777777" w:rsidR="00F568CD" w:rsidRDefault="00F56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089B"/>
    <w:multiLevelType w:val="multilevel"/>
    <w:tmpl w:val="CC8A4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491DDE"/>
    <w:multiLevelType w:val="multilevel"/>
    <w:tmpl w:val="6E22882A"/>
    <w:lvl w:ilvl="0">
      <w:start w:val="3"/>
      <w:numFmt w:val="decimal"/>
      <w:lvlText w:val="%1."/>
      <w:lvlJc w:val="left"/>
      <w:pPr>
        <w:ind w:left="390" w:hanging="390"/>
      </w:pPr>
      <w:rPr>
        <w:rFonts w:hint="default"/>
        <w:color w:val="auto"/>
      </w:rPr>
    </w:lvl>
    <w:lvl w:ilvl="1">
      <w:start w:val="2"/>
      <w:numFmt w:val="decimal"/>
      <w:lvlText w:val="%1.%2."/>
      <w:lvlJc w:val="left"/>
      <w:pPr>
        <w:ind w:left="2880" w:hanging="72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560" w:hanging="108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2240" w:hanging="144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920" w:hanging="1800"/>
      </w:pPr>
      <w:rPr>
        <w:rFonts w:hint="default"/>
        <w:color w:val="auto"/>
      </w:rPr>
    </w:lvl>
    <w:lvl w:ilvl="8">
      <w:start w:val="1"/>
      <w:numFmt w:val="decimal"/>
      <w:lvlText w:val="%1.%2.%3.%4.%5.%6.%7.%8.%9."/>
      <w:lvlJc w:val="left"/>
      <w:pPr>
        <w:ind w:left="19440" w:hanging="2160"/>
      </w:pPr>
      <w:rPr>
        <w:rFonts w:hint="default"/>
        <w:color w:val="auto"/>
      </w:rPr>
    </w:lvl>
  </w:abstractNum>
  <w:abstractNum w:abstractNumId="4"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07699A"/>
    <w:multiLevelType w:val="multilevel"/>
    <w:tmpl w:val="2776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0AA2332"/>
    <w:multiLevelType w:val="hybridMultilevel"/>
    <w:tmpl w:val="193EB5D4"/>
    <w:lvl w:ilvl="0" w:tplc="F91E9608">
      <w:start w:val="43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D316F"/>
    <w:multiLevelType w:val="hybridMultilevel"/>
    <w:tmpl w:val="72A45B9E"/>
    <w:lvl w:ilvl="0" w:tplc="27F67A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DEB1433"/>
    <w:multiLevelType w:val="hybridMultilevel"/>
    <w:tmpl w:val="6D34F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7A07B80"/>
    <w:multiLevelType w:val="hybridMultilevel"/>
    <w:tmpl w:val="9ABCCCB2"/>
    <w:lvl w:ilvl="0" w:tplc="27F67A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4153C"/>
    <w:multiLevelType w:val="hybridMultilevel"/>
    <w:tmpl w:val="8CDC42D0"/>
    <w:lvl w:ilvl="0" w:tplc="27F67AD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6066655">
    <w:abstractNumId w:val="6"/>
  </w:num>
  <w:num w:numId="2" w16cid:durableId="7951966">
    <w:abstractNumId w:val="11"/>
  </w:num>
  <w:num w:numId="3" w16cid:durableId="920722056">
    <w:abstractNumId w:val="4"/>
  </w:num>
  <w:num w:numId="4" w16cid:durableId="310722015">
    <w:abstractNumId w:val="9"/>
  </w:num>
  <w:num w:numId="5" w16cid:durableId="1626034679">
    <w:abstractNumId w:val="1"/>
  </w:num>
  <w:num w:numId="6" w16cid:durableId="49110956">
    <w:abstractNumId w:val="2"/>
  </w:num>
  <w:num w:numId="7" w16cid:durableId="1877159372">
    <w:abstractNumId w:val="5"/>
  </w:num>
  <w:num w:numId="8" w16cid:durableId="465509036">
    <w:abstractNumId w:val="0"/>
  </w:num>
  <w:num w:numId="9" w16cid:durableId="1384478920">
    <w:abstractNumId w:val="3"/>
  </w:num>
  <w:num w:numId="10" w16cid:durableId="696394902">
    <w:abstractNumId w:val="10"/>
  </w:num>
  <w:num w:numId="11" w16cid:durableId="672874887">
    <w:abstractNumId w:val="12"/>
  </w:num>
  <w:num w:numId="12" w16cid:durableId="393237574">
    <w:abstractNumId w:val="7"/>
  </w:num>
  <w:num w:numId="13" w16cid:durableId="1689481761">
    <w:abstractNumId w:val="13"/>
  </w:num>
  <w:num w:numId="14" w16cid:durableId="5338079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5996"/>
    <w:rsid w:val="0001148C"/>
    <w:rsid w:val="00021EB7"/>
    <w:rsid w:val="00026F7E"/>
    <w:rsid w:val="00034BEC"/>
    <w:rsid w:val="00034DE4"/>
    <w:rsid w:val="00044865"/>
    <w:rsid w:val="0004750B"/>
    <w:rsid w:val="00060A01"/>
    <w:rsid w:val="00060D38"/>
    <w:rsid w:val="000665F7"/>
    <w:rsid w:val="000728A4"/>
    <w:rsid w:val="000743BC"/>
    <w:rsid w:val="00086D29"/>
    <w:rsid w:val="00091852"/>
    <w:rsid w:val="00093568"/>
    <w:rsid w:val="000A2723"/>
    <w:rsid w:val="000A411C"/>
    <w:rsid w:val="000B3347"/>
    <w:rsid w:val="000C7465"/>
    <w:rsid w:val="000D1407"/>
    <w:rsid w:val="000D599E"/>
    <w:rsid w:val="000E210A"/>
    <w:rsid w:val="000E33E8"/>
    <w:rsid w:val="000F275B"/>
    <w:rsid w:val="000F57EB"/>
    <w:rsid w:val="00104B1E"/>
    <w:rsid w:val="001110F0"/>
    <w:rsid w:val="00121947"/>
    <w:rsid w:val="001251CE"/>
    <w:rsid w:val="00125958"/>
    <w:rsid w:val="0013666D"/>
    <w:rsid w:val="001406ED"/>
    <w:rsid w:val="00146480"/>
    <w:rsid w:val="00155697"/>
    <w:rsid w:val="00173204"/>
    <w:rsid w:val="0017549F"/>
    <w:rsid w:val="00191DDC"/>
    <w:rsid w:val="001B0F7A"/>
    <w:rsid w:val="001C0B26"/>
    <w:rsid w:val="001C3538"/>
    <w:rsid w:val="001C61A7"/>
    <w:rsid w:val="001D06D0"/>
    <w:rsid w:val="001D0A31"/>
    <w:rsid w:val="001E078F"/>
    <w:rsid w:val="001E4153"/>
    <w:rsid w:val="001F5E65"/>
    <w:rsid w:val="002015A8"/>
    <w:rsid w:val="00204B3D"/>
    <w:rsid w:val="00210AA8"/>
    <w:rsid w:val="002140F9"/>
    <w:rsid w:val="00214CD7"/>
    <w:rsid w:val="00216247"/>
    <w:rsid w:val="00220BF7"/>
    <w:rsid w:val="00227D81"/>
    <w:rsid w:val="002328B0"/>
    <w:rsid w:val="00233D1F"/>
    <w:rsid w:val="00236ADC"/>
    <w:rsid w:val="00252AB1"/>
    <w:rsid w:val="00256D2E"/>
    <w:rsid w:val="0029273D"/>
    <w:rsid w:val="00295451"/>
    <w:rsid w:val="002B0C6A"/>
    <w:rsid w:val="002B2F91"/>
    <w:rsid w:val="002B49F1"/>
    <w:rsid w:val="002C026D"/>
    <w:rsid w:val="002C2F62"/>
    <w:rsid w:val="002C7121"/>
    <w:rsid w:val="002D26CA"/>
    <w:rsid w:val="002D444E"/>
    <w:rsid w:val="002D4B6C"/>
    <w:rsid w:val="002E0CFD"/>
    <w:rsid w:val="002F23C1"/>
    <w:rsid w:val="00306178"/>
    <w:rsid w:val="00306AB8"/>
    <w:rsid w:val="003239CD"/>
    <w:rsid w:val="00324025"/>
    <w:rsid w:val="00324046"/>
    <w:rsid w:val="00324213"/>
    <w:rsid w:val="003411A8"/>
    <w:rsid w:val="0034158A"/>
    <w:rsid w:val="00344AD0"/>
    <w:rsid w:val="003549D3"/>
    <w:rsid w:val="00356CF3"/>
    <w:rsid w:val="0036322E"/>
    <w:rsid w:val="003733DE"/>
    <w:rsid w:val="00375625"/>
    <w:rsid w:val="00390C5E"/>
    <w:rsid w:val="003935F1"/>
    <w:rsid w:val="003A382A"/>
    <w:rsid w:val="003A55C0"/>
    <w:rsid w:val="003A6FFF"/>
    <w:rsid w:val="003B2CF0"/>
    <w:rsid w:val="003C2B28"/>
    <w:rsid w:val="003F1246"/>
    <w:rsid w:val="003F577B"/>
    <w:rsid w:val="003F6B2A"/>
    <w:rsid w:val="00411B3C"/>
    <w:rsid w:val="00420201"/>
    <w:rsid w:val="00427D8B"/>
    <w:rsid w:val="00447480"/>
    <w:rsid w:val="00454861"/>
    <w:rsid w:val="004556FF"/>
    <w:rsid w:val="00490AC0"/>
    <w:rsid w:val="00494E91"/>
    <w:rsid w:val="004A4710"/>
    <w:rsid w:val="004A6661"/>
    <w:rsid w:val="004B1287"/>
    <w:rsid w:val="004B1F92"/>
    <w:rsid w:val="004B3B9C"/>
    <w:rsid w:val="004C3A59"/>
    <w:rsid w:val="004D4DE0"/>
    <w:rsid w:val="004E02C5"/>
    <w:rsid w:val="004F66D0"/>
    <w:rsid w:val="005012ED"/>
    <w:rsid w:val="00503806"/>
    <w:rsid w:val="00505735"/>
    <w:rsid w:val="00512A0B"/>
    <w:rsid w:val="00515A65"/>
    <w:rsid w:val="005236FF"/>
    <w:rsid w:val="005250D3"/>
    <w:rsid w:val="00545DA1"/>
    <w:rsid w:val="00547387"/>
    <w:rsid w:val="00555E23"/>
    <w:rsid w:val="005713AE"/>
    <w:rsid w:val="00585281"/>
    <w:rsid w:val="00591148"/>
    <w:rsid w:val="005B7137"/>
    <w:rsid w:val="005C60BD"/>
    <w:rsid w:val="005C72CF"/>
    <w:rsid w:val="005D34C0"/>
    <w:rsid w:val="005D7870"/>
    <w:rsid w:val="005E2941"/>
    <w:rsid w:val="005E3ED8"/>
    <w:rsid w:val="005E5F0E"/>
    <w:rsid w:val="005E76C0"/>
    <w:rsid w:val="005F108C"/>
    <w:rsid w:val="0060047B"/>
    <w:rsid w:val="00611828"/>
    <w:rsid w:val="00611BEE"/>
    <w:rsid w:val="006210BF"/>
    <w:rsid w:val="00623358"/>
    <w:rsid w:val="006615A3"/>
    <w:rsid w:val="00662ACA"/>
    <w:rsid w:val="00670BCB"/>
    <w:rsid w:val="00672595"/>
    <w:rsid w:val="006769B9"/>
    <w:rsid w:val="0068095D"/>
    <w:rsid w:val="00684381"/>
    <w:rsid w:val="00692231"/>
    <w:rsid w:val="006929ED"/>
    <w:rsid w:val="00697B21"/>
    <w:rsid w:val="006C1E2F"/>
    <w:rsid w:val="006C65A8"/>
    <w:rsid w:val="006D0E3F"/>
    <w:rsid w:val="006E1C6B"/>
    <w:rsid w:val="006E5631"/>
    <w:rsid w:val="006E5F48"/>
    <w:rsid w:val="00703212"/>
    <w:rsid w:val="00703EB4"/>
    <w:rsid w:val="0071021E"/>
    <w:rsid w:val="00721F13"/>
    <w:rsid w:val="007258E1"/>
    <w:rsid w:val="00734E84"/>
    <w:rsid w:val="0074262F"/>
    <w:rsid w:val="00744EE4"/>
    <w:rsid w:val="00756797"/>
    <w:rsid w:val="0077114F"/>
    <w:rsid w:val="00791550"/>
    <w:rsid w:val="0079187D"/>
    <w:rsid w:val="007A3744"/>
    <w:rsid w:val="007A65D7"/>
    <w:rsid w:val="007A7163"/>
    <w:rsid w:val="007B4B33"/>
    <w:rsid w:val="007B5D4C"/>
    <w:rsid w:val="007C3B9A"/>
    <w:rsid w:val="007C43F1"/>
    <w:rsid w:val="007D0622"/>
    <w:rsid w:val="007E330A"/>
    <w:rsid w:val="007E5A56"/>
    <w:rsid w:val="007F1FD0"/>
    <w:rsid w:val="007F7FE3"/>
    <w:rsid w:val="0080333C"/>
    <w:rsid w:val="00817025"/>
    <w:rsid w:val="008223B8"/>
    <w:rsid w:val="00833357"/>
    <w:rsid w:val="00835788"/>
    <w:rsid w:val="008440B8"/>
    <w:rsid w:val="00845126"/>
    <w:rsid w:val="00846CD9"/>
    <w:rsid w:val="00846E65"/>
    <w:rsid w:val="00852161"/>
    <w:rsid w:val="008750BD"/>
    <w:rsid w:val="00883635"/>
    <w:rsid w:val="008860EE"/>
    <w:rsid w:val="00892EE6"/>
    <w:rsid w:val="0089595A"/>
    <w:rsid w:val="008A6991"/>
    <w:rsid w:val="008E0E0E"/>
    <w:rsid w:val="008E18D5"/>
    <w:rsid w:val="008F2030"/>
    <w:rsid w:val="008F5194"/>
    <w:rsid w:val="008F5205"/>
    <w:rsid w:val="009024AF"/>
    <w:rsid w:val="00906BAF"/>
    <w:rsid w:val="00910569"/>
    <w:rsid w:val="00922E1F"/>
    <w:rsid w:val="00927915"/>
    <w:rsid w:val="00932111"/>
    <w:rsid w:val="009337A4"/>
    <w:rsid w:val="00954958"/>
    <w:rsid w:val="00973B07"/>
    <w:rsid w:val="00984066"/>
    <w:rsid w:val="0099165F"/>
    <w:rsid w:val="00993503"/>
    <w:rsid w:val="00993533"/>
    <w:rsid w:val="009A0865"/>
    <w:rsid w:val="009A65A8"/>
    <w:rsid w:val="009A7DB7"/>
    <w:rsid w:val="009B0AAB"/>
    <w:rsid w:val="009D6D0A"/>
    <w:rsid w:val="009D7596"/>
    <w:rsid w:val="009E1B05"/>
    <w:rsid w:val="009E2203"/>
    <w:rsid w:val="00A02624"/>
    <w:rsid w:val="00A07494"/>
    <w:rsid w:val="00A124F7"/>
    <w:rsid w:val="00A13D75"/>
    <w:rsid w:val="00A14740"/>
    <w:rsid w:val="00A17B71"/>
    <w:rsid w:val="00A343DB"/>
    <w:rsid w:val="00A37531"/>
    <w:rsid w:val="00A37DB0"/>
    <w:rsid w:val="00A4793A"/>
    <w:rsid w:val="00A507C7"/>
    <w:rsid w:val="00A66B2B"/>
    <w:rsid w:val="00A7360C"/>
    <w:rsid w:val="00AA07BE"/>
    <w:rsid w:val="00AC6506"/>
    <w:rsid w:val="00AC70B6"/>
    <w:rsid w:val="00AD0E58"/>
    <w:rsid w:val="00AD5040"/>
    <w:rsid w:val="00AE4A52"/>
    <w:rsid w:val="00AF26F1"/>
    <w:rsid w:val="00B0717A"/>
    <w:rsid w:val="00B30D93"/>
    <w:rsid w:val="00B50859"/>
    <w:rsid w:val="00B676ED"/>
    <w:rsid w:val="00B7386C"/>
    <w:rsid w:val="00B7598C"/>
    <w:rsid w:val="00B86C28"/>
    <w:rsid w:val="00B9510F"/>
    <w:rsid w:val="00BA257F"/>
    <w:rsid w:val="00BB4213"/>
    <w:rsid w:val="00BB47B9"/>
    <w:rsid w:val="00BB6BDC"/>
    <w:rsid w:val="00BC4125"/>
    <w:rsid w:val="00BD7FDD"/>
    <w:rsid w:val="00BE2B24"/>
    <w:rsid w:val="00BE741E"/>
    <w:rsid w:val="00C00419"/>
    <w:rsid w:val="00C233D6"/>
    <w:rsid w:val="00C3650F"/>
    <w:rsid w:val="00C574D6"/>
    <w:rsid w:val="00C62EA1"/>
    <w:rsid w:val="00C84559"/>
    <w:rsid w:val="00CA622B"/>
    <w:rsid w:val="00CB5B06"/>
    <w:rsid w:val="00CB764D"/>
    <w:rsid w:val="00CC29D5"/>
    <w:rsid w:val="00CC6F20"/>
    <w:rsid w:val="00CE00D8"/>
    <w:rsid w:val="00CE41EF"/>
    <w:rsid w:val="00D01C4C"/>
    <w:rsid w:val="00D04A95"/>
    <w:rsid w:val="00D14100"/>
    <w:rsid w:val="00D22B6D"/>
    <w:rsid w:val="00D3423E"/>
    <w:rsid w:val="00D65112"/>
    <w:rsid w:val="00D65945"/>
    <w:rsid w:val="00D6702C"/>
    <w:rsid w:val="00D809F4"/>
    <w:rsid w:val="00D9631B"/>
    <w:rsid w:val="00DA7AFE"/>
    <w:rsid w:val="00DB0C88"/>
    <w:rsid w:val="00DB5F01"/>
    <w:rsid w:val="00DD0235"/>
    <w:rsid w:val="00DD08AF"/>
    <w:rsid w:val="00DD1003"/>
    <w:rsid w:val="00DD282C"/>
    <w:rsid w:val="00DD505B"/>
    <w:rsid w:val="00DD5068"/>
    <w:rsid w:val="00DE0701"/>
    <w:rsid w:val="00DE44E2"/>
    <w:rsid w:val="00DF3911"/>
    <w:rsid w:val="00DF50C8"/>
    <w:rsid w:val="00DF6FAA"/>
    <w:rsid w:val="00E03BD2"/>
    <w:rsid w:val="00E05B91"/>
    <w:rsid w:val="00E07A85"/>
    <w:rsid w:val="00E25937"/>
    <w:rsid w:val="00E27FCF"/>
    <w:rsid w:val="00E407C7"/>
    <w:rsid w:val="00E434A3"/>
    <w:rsid w:val="00E62061"/>
    <w:rsid w:val="00E66BA7"/>
    <w:rsid w:val="00E6705C"/>
    <w:rsid w:val="00E743B7"/>
    <w:rsid w:val="00E7596F"/>
    <w:rsid w:val="00E80613"/>
    <w:rsid w:val="00E81258"/>
    <w:rsid w:val="00EA00A6"/>
    <w:rsid w:val="00EB1DF2"/>
    <w:rsid w:val="00EB3F28"/>
    <w:rsid w:val="00EC159D"/>
    <w:rsid w:val="00ED704E"/>
    <w:rsid w:val="00EF033D"/>
    <w:rsid w:val="00EF05CF"/>
    <w:rsid w:val="00F04095"/>
    <w:rsid w:val="00F12286"/>
    <w:rsid w:val="00F210BA"/>
    <w:rsid w:val="00F26503"/>
    <w:rsid w:val="00F27AA2"/>
    <w:rsid w:val="00F36BCB"/>
    <w:rsid w:val="00F42B90"/>
    <w:rsid w:val="00F44C92"/>
    <w:rsid w:val="00F51CA0"/>
    <w:rsid w:val="00F522E3"/>
    <w:rsid w:val="00F5442F"/>
    <w:rsid w:val="00F54913"/>
    <w:rsid w:val="00F568CD"/>
    <w:rsid w:val="00F637B6"/>
    <w:rsid w:val="00F75ACE"/>
    <w:rsid w:val="00F815A6"/>
    <w:rsid w:val="00F86A9C"/>
    <w:rsid w:val="00F97DCD"/>
    <w:rsid w:val="00FB7FC7"/>
    <w:rsid w:val="00FC6539"/>
    <w:rsid w:val="00FC658C"/>
    <w:rsid w:val="00FF22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C7FC"/>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 w:type="table" w:customStyle="1" w:styleId="TableGrid1">
    <w:name w:val="Table Grid1"/>
    <w:basedOn w:val="TableNormal"/>
    <w:next w:val="TableGrid"/>
    <w:uiPriority w:val="39"/>
    <w:rsid w:val="0049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2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570627">
      <w:bodyDiv w:val="1"/>
      <w:marLeft w:val="0"/>
      <w:marRight w:val="0"/>
      <w:marTop w:val="0"/>
      <w:marBottom w:val="0"/>
      <w:divBdr>
        <w:top w:val="none" w:sz="0" w:space="0" w:color="auto"/>
        <w:left w:val="none" w:sz="0" w:space="0" w:color="auto"/>
        <w:bottom w:val="none" w:sz="0" w:space="0" w:color="auto"/>
        <w:right w:val="none" w:sz="0" w:space="0" w:color="auto"/>
      </w:divBdr>
    </w:div>
    <w:div w:id="552693021">
      <w:bodyDiv w:val="1"/>
      <w:marLeft w:val="0"/>
      <w:marRight w:val="0"/>
      <w:marTop w:val="0"/>
      <w:marBottom w:val="0"/>
      <w:divBdr>
        <w:top w:val="none" w:sz="0" w:space="0" w:color="auto"/>
        <w:left w:val="none" w:sz="0" w:space="0" w:color="auto"/>
        <w:bottom w:val="none" w:sz="0" w:space="0" w:color="auto"/>
        <w:right w:val="none" w:sz="0" w:space="0" w:color="auto"/>
      </w:divBdr>
    </w:div>
    <w:div w:id="583421134">
      <w:bodyDiv w:val="1"/>
      <w:marLeft w:val="0"/>
      <w:marRight w:val="0"/>
      <w:marTop w:val="0"/>
      <w:marBottom w:val="0"/>
      <w:divBdr>
        <w:top w:val="none" w:sz="0" w:space="0" w:color="auto"/>
        <w:left w:val="none" w:sz="0" w:space="0" w:color="auto"/>
        <w:bottom w:val="none" w:sz="0" w:space="0" w:color="auto"/>
        <w:right w:val="none" w:sz="0" w:space="0" w:color="auto"/>
      </w:divBdr>
    </w:div>
    <w:div w:id="615795528">
      <w:bodyDiv w:val="1"/>
      <w:marLeft w:val="0"/>
      <w:marRight w:val="0"/>
      <w:marTop w:val="0"/>
      <w:marBottom w:val="0"/>
      <w:divBdr>
        <w:top w:val="none" w:sz="0" w:space="0" w:color="auto"/>
        <w:left w:val="none" w:sz="0" w:space="0" w:color="auto"/>
        <w:bottom w:val="none" w:sz="0" w:space="0" w:color="auto"/>
        <w:right w:val="none" w:sz="0" w:space="0" w:color="auto"/>
      </w:divBdr>
    </w:div>
    <w:div w:id="990713843">
      <w:bodyDiv w:val="1"/>
      <w:marLeft w:val="0"/>
      <w:marRight w:val="0"/>
      <w:marTop w:val="0"/>
      <w:marBottom w:val="0"/>
      <w:divBdr>
        <w:top w:val="none" w:sz="0" w:space="0" w:color="auto"/>
        <w:left w:val="none" w:sz="0" w:space="0" w:color="auto"/>
        <w:bottom w:val="none" w:sz="0" w:space="0" w:color="auto"/>
        <w:right w:val="none" w:sz="0" w:space="0" w:color="auto"/>
      </w:divBdr>
    </w:div>
    <w:div w:id="14684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ro.vef.unizg.hr/opce/dok/z_o_znanstvenoj_djelatnosti_123_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Katarina Goleš</cp:lastModifiedBy>
  <cp:revision>4</cp:revision>
  <cp:lastPrinted>2023-10-30T10:20:00Z</cp:lastPrinted>
  <dcterms:created xsi:type="dcterms:W3CDTF">2024-12-12T13:35:00Z</dcterms:created>
  <dcterms:modified xsi:type="dcterms:W3CDTF">2024-12-12T13:41:00Z</dcterms:modified>
</cp:coreProperties>
</file>