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473B" w14:textId="77777777" w:rsidR="004A6394" w:rsidRPr="001E2B7E" w:rsidRDefault="004A6394" w:rsidP="004A6394">
      <w:pPr>
        <w:spacing w:after="0" w:line="240" w:lineRule="auto"/>
        <w:rPr>
          <w:rFonts w:ascii="Times New Roman" w:eastAsia="Calibri" w:hAnsi="Times New Roman" w:cs="Times New Roman"/>
          <w:sz w:val="24"/>
          <w:szCs w:val="24"/>
        </w:rPr>
      </w:pPr>
      <w:r w:rsidRPr="001E2B7E">
        <w:rPr>
          <w:rFonts w:ascii="Times New Roman" w:eastAsia="Calibri" w:hAnsi="Times New Roman" w:cs="Times New Roman"/>
          <w:sz w:val="24"/>
          <w:szCs w:val="24"/>
        </w:rPr>
        <w:t xml:space="preserve">Broj RKP-a:              </w:t>
      </w:r>
      <w:r w:rsidRPr="001E2B7E">
        <w:rPr>
          <w:rFonts w:ascii="Times New Roman" w:eastAsia="Calibri" w:hAnsi="Times New Roman" w:cs="Times New Roman"/>
          <w:sz w:val="24"/>
          <w:szCs w:val="24"/>
        </w:rPr>
        <w:tab/>
        <w:t>02022</w:t>
      </w:r>
    </w:p>
    <w:p w14:paraId="7C2A893B" w14:textId="77777777" w:rsidR="004A6394" w:rsidRPr="001E2B7E" w:rsidRDefault="004A6394" w:rsidP="004A6394">
      <w:pPr>
        <w:spacing w:after="0" w:line="240" w:lineRule="auto"/>
        <w:rPr>
          <w:rFonts w:ascii="Times New Roman" w:eastAsia="Calibri" w:hAnsi="Times New Roman" w:cs="Times New Roman"/>
          <w:sz w:val="24"/>
          <w:szCs w:val="24"/>
        </w:rPr>
      </w:pPr>
      <w:r w:rsidRPr="001E2B7E">
        <w:rPr>
          <w:rFonts w:ascii="Times New Roman" w:eastAsia="Calibri" w:hAnsi="Times New Roman" w:cs="Times New Roman"/>
          <w:sz w:val="24"/>
          <w:szCs w:val="24"/>
        </w:rPr>
        <w:t>Matični broj:              3225755</w:t>
      </w:r>
    </w:p>
    <w:p w14:paraId="06DFA4BB" w14:textId="77777777" w:rsidR="004A6394" w:rsidRPr="001E2B7E" w:rsidRDefault="004A6394" w:rsidP="004A6394">
      <w:pPr>
        <w:spacing w:after="0" w:line="240" w:lineRule="auto"/>
        <w:rPr>
          <w:rFonts w:ascii="Times New Roman" w:eastAsia="Calibri" w:hAnsi="Times New Roman" w:cs="Times New Roman"/>
          <w:sz w:val="24"/>
          <w:szCs w:val="24"/>
        </w:rPr>
      </w:pPr>
      <w:r w:rsidRPr="001E2B7E">
        <w:rPr>
          <w:rFonts w:ascii="Times New Roman" w:eastAsia="Calibri" w:hAnsi="Times New Roman" w:cs="Times New Roman"/>
          <w:sz w:val="24"/>
          <w:szCs w:val="24"/>
        </w:rPr>
        <w:t>OIB:                           36389528408</w:t>
      </w:r>
    </w:p>
    <w:p w14:paraId="4CBF5CFE" w14:textId="77777777" w:rsidR="004A6394" w:rsidRPr="001E2B7E" w:rsidRDefault="004A6394" w:rsidP="004A6394">
      <w:pPr>
        <w:spacing w:after="0" w:line="240" w:lineRule="auto"/>
        <w:rPr>
          <w:rFonts w:ascii="Times New Roman" w:eastAsia="Calibri" w:hAnsi="Times New Roman" w:cs="Times New Roman"/>
          <w:sz w:val="24"/>
          <w:szCs w:val="24"/>
        </w:rPr>
      </w:pPr>
      <w:r w:rsidRPr="001E2B7E">
        <w:rPr>
          <w:rFonts w:ascii="Times New Roman" w:eastAsia="Calibri" w:hAnsi="Times New Roman" w:cs="Times New Roman"/>
          <w:sz w:val="24"/>
          <w:szCs w:val="24"/>
        </w:rPr>
        <w:t xml:space="preserve">Naziv obveznika:  </w:t>
      </w:r>
      <w:r w:rsidRPr="001E2B7E">
        <w:rPr>
          <w:rFonts w:ascii="Times New Roman" w:eastAsia="Calibri" w:hAnsi="Times New Roman" w:cs="Times New Roman"/>
          <w:sz w:val="24"/>
          <w:szCs w:val="24"/>
        </w:rPr>
        <w:tab/>
        <w:t>Sveučilište u Zagrebu Veterinarski fakultet</w:t>
      </w:r>
    </w:p>
    <w:p w14:paraId="645F6BEA" w14:textId="77777777" w:rsidR="004A6394" w:rsidRPr="001E2B7E" w:rsidRDefault="004A6394" w:rsidP="004A6394">
      <w:pPr>
        <w:spacing w:after="0" w:line="240" w:lineRule="auto"/>
        <w:rPr>
          <w:rFonts w:ascii="Times New Roman" w:eastAsia="Calibri" w:hAnsi="Times New Roman" w:cs="Times New Roman"/>
          <w:sz w:val="24"/>
          <w:szCs w:val="24"/>
        </w:rPr>
      </w:pPr>
      <w:r w:rsidRPr="001E2B7E">
        <w:rPr>
          <w:rFonts w:ascii="Times New Roman" w:eastAsia="Calibri" w:hAnsi="Times New Roman" w:cs="Times New Roman"/>
          <w:sz w:val="24"/>
          <w:szCs w:val="24"/>
        </w:rPr>
        <w:t xml:space="preserve">                                </w:t>
      </w:r>
      <w:r w:rsidRPr="001E2B7E">
        <w:rPr>
          <w:rFonts w:ascii="Times New Roman" w:eastAsia="Calibri" w:hAnsi="Times New Roman" w:cs="Times New Roman"/>
          <w:sz w:val="24"/>
          <w:szCs w:val="24"/>
        </w:rPr>
        <w:tab/>
        <w:t>Zagreb, Heinzelova 55</w:t>
      </w:r>
    </w:p>
    <w:p w14:paraId="3BBBE293" w14:textId="77777777" w:rsidR="004A6394" w:rsidRPr="001E2B7E" w:rsidRDefault="004A6394" w:rsidP="004A6394">
      <w:pPr>
        <w:spacing w:after="0" w:line="240" w:lineRule="auto"/>
        <w:rPr>
          <w:rFonts w:ascii="Times New Roman" w:eastAsia="Calibri" w:hAnsi="Times New Roman" w:cs="Times New Roman"/>
          <w:sz w:val="24"/>
          <w:szCs w:val="24"/>
        </w:rPr>
      </w:pPr>
      <w:r w:rsidRPr="001E2B7E">
        <w:rPr>
          <w:rFonts w:ascii="Times New Roman" w:eastAsia="Calibri" w:hAnsi="Times New Roman" w:cs="Times New Roman"/>
          <w:sz w:val="24"/>
          <w:szCs w:val="24"/>
        </w:rPr>
        <w:t xml:space="preserve">Razina:                      </w:t>
      </w:r>
      <w:r w:rsidRPr="001E2B7E">
        <w:rPr>
          <w:rFonts w:ascii="Times New Roman" w:eastAsia="Calibri" w:hAnsi="Times New Roman" w:cs="Times New Roman"/>
          <w:sz w:val="24"/>
          <w:szCs w:val="24"/>
        </w:rPr>
        <w:tab/>
        <w:t>11</w:t>
      </w:r>
    </w:p>
    <w:p w14:paraId="31EFF0D4" w14:textId="77777777" w:rsidR="004A6394" w:rsidRPr="001E2B7E" w:rsidRDefault="004A6394" w:rsidP="004A6394">
      <w:pPr>
        <w:spacing w:after="0" w:line="240" w:lineRule="auto"/>
        <w:rPr>
          <w:rFonts w:ascii="Times New Roman" w:eastAsia="Calibri" w:hAnsi="Times New Roman" w:cs="Times New Roman"/>
          <w:sz w:val="24"/>
          <w:szCs w:val="24"/>
        </w:rPr>
      </w:pPr>
      <w:r w:rsidRPr="001E2B7E">
        <w:rPr>
          <w:rFonts w:ascii="Times New Roman" w:eastAsia="Calibri" w:hAnsi="Times New Roman" w:cs="Times New Roman"/>
          <w:sz w:val="24"/>
          <w:szCs w:val="24"/>
        </w:rPr>
        <w:t xml:space="preserve">Šifra djelatnosti:        </w:t>
      </w:r>
      <w:r w:rsidRPr="001E2B7E">
        <w:rPr>
          <w:rFonts w:ascii="Times New Roman" w:eastAsia="Calibri" w:hAnsi="Times New Roman" w:cs="Times New Roman"/>
          <w:sz w:val="24"/>
          <w:szCs w:val="24"/>
        </w:rPr>
        <w:tab/>
        <w:t>8542</w:t>
      </w:r>
    </w:p>
    <w:p w14:paraId="5CF6BD2C" w14:textId="77777777" w:rsidR="004A6394" w:rsidRPr="001E2B7E" w:rsidRDefault="004A6394" w:rsidP="004A6394">
      <w:pPr>
        <w:spacing w:after="0" w:line="240" w:lineRule="auto"/>
        <w:rPr>
          <w:rFonts w:ascii="Times New Roman" w:eastAsia="Calibri" w:hAnsi="Times New Roman" w:cs="Times New Roman"/>
          <w:sz w:val="24"/>
          <w:szCs w:val="24"/>
        </w:rPr>
      </w:pPr>
      <w:r w:rsidRPr="001E2B7E">
        <w:rPr>
          <w:rFonts w:ascii="Times New Roman" w:eastAsia="Calibri" w:hAnsi="Times New Roman" w:cs="Times New Roman"/>
          <w:sz w:val="24"/>
          <w:szCs w:val="24"/>
        </w:rPr>
        <w:t>Razdjel:                      080</w:t>
      </w:r>
    </w:p>
    <w:p w14:paraId="00C417C1" w14:textId="77777777" w:rsidR="004A6394" w:rsidRPr="001E2B7E" w:rsidRDefault="004A6394" w:rsidP="004A6394">
      <w:pPr>
        <w:spacing w:after="0" w:line="240" w:lineRule="auto"/>
        <w:rPr>
          <w:rFonts w:ascii="Times New Roman" w:eastAsia="Calibri" w:hAnsi="Times New Roman" w:cs="Times New Roman"/>
          <w:sz w:val="24"/>
          <w:szCs w:val="24"/>
        </w:rPr>
      </w:pPr>
    </w:p>
    <w:p w14:paraId="7DD007A0" w14:textId="60CD4E2B" w:rsidR="004A6394" w:rsidRPr="001E2B7E" w:rsidRDefault="004A6394" w:rsidP="004A6394">
      <w:pPr>
        <w:spacing w:line="240" w:lineRule="auto"/>
        <w:jc w:val="center"/>
        <w:rPr>
          <w:rFonts w:ascii="Times New Roman" w:eastAsia="Calibri" w:hAnsi="Times New Roman" w:cs="Times New Roman"/>
          <w:b/>
          <w:sz w:val="24"/>
          <w:szCs w:val="24"/>
        </w:rPr>
      </w:pPr>
      <w:r w:rsidRPr="001E2B7E">
        <w:rPr>
          <w:rFonts w:ascii="Times New Roman" w:eastAsia="Calibri" w:hAnsi="Times New Roman" w:cs="Times New Roman"/>
          <w:b/>
          <w:sz w:val="24"/>
          <w:szCs w:val="24"/>
        </w:rPr>
        <w:t xml:space="preserve">OBRAZLOŽENJE POSEBNOG DIJELA FINANCIJSKOG PLANA </w:t>
      </w:r>
    </w:p>
    <w:p w14:paraId="30C16E07" w14:textId="77777777" w:rsidR="004A6394" w:rsidRPr="001E2B7E" w:rsidRDefault="004A6394" w:rsidP="004A6394">
      <w:pPr>
        <w:spacing w:line="240" w:lineRule="auto"/>
        <w:jc w:val="center"/>
        <w:rPr>
          <w:rFonts w:ascii="Times New Roman" w:eastAsia="Calibri" w:hAnsi="Times New Roman" w:cs="Times New Roman"/>
          <w:b/>
          <w:sz w:val="24"/>
          <w:szCs w:val="24"/>
        </w:rPr>
      </w:pPr>
      <w:r w:rsidRPr="001E2B7E">
        <w:rPr>
          <w:rFonts w:ascii="Times New Roman" w:eastAsia="Calibri" w:hAnsi="Times New Roman" w:cs="Times New Roman"/>
          <w:b/>
          <w:sz w:val="24"/>
          <w:szCs w:val="24"/>
        </w:rPr>
        <w:t>ZA RAZDOBLJE 2026. – 2028.</w:t>
      </w:r>
    </w:p>
    <w:p w14:paraId="54C6652E" w14:textId="64BDDF3C" w:rsidR="00EF05CF" w:rsidRPr="001E2B7E" w:rsidRDefault="00EF05CF" w:rsidP="00CA622B">
      <w:pPr>
        <w:pBdr>
          <w:top w:val="dotted" w:sz="4" w:space="1" w:color="808080" w:themeColor="background1" w:themeShade="80"/>
          <w:bottom w:val="dotted" w:sz="4" w:space="1" w:color="808080" w:themeColor="background1" w:themeShade="80"/>
        </w:pBdr>
        <w:shd w:val="clear" w:color="auto" w:fill="D0CECE" w:themeFill="background2" w:themeFillShade="E6"/>
        <w:spacing w:line="360" w:lineRule="auto"/>
        <w:jc w:val="both"/>
        <w:rPr>
          <w:rFonts w:ascii="Times New Roman" w:hAnsi="Times New Roman" w:cs="Times New Roman"/>
          <w:sz w:val="24"/>
          <w:szCs w:val="24"/>
        </w:rPr>
      </w:pPr>
      <w:r w:rsidRPr="001E2B7E">
        <w:rPr>
          <w:rFonts w:ascii="Times New Roman" w:hAnsi="Times New Roman" w:cs="Times New Roman"/>
          <w:sz w:val="24"/>
          <w:szCs w:val="24"/>
        </w:rPr>
        <w:t>Sažetak djelokruga rada</w:t>
      </w:r>
    </w:p>
    <w:p w14:paraId="1A26CF27" w14:textId="5CB07FC7" w:rsidR="00351FDD" w:rsidRPr="001E2B7E" w:rsidRDefault="00351FDD" w:rsidP="00351FDD">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Sveučilište u Zagrebu Veterinarski fakultet je javno visoko učilište  i javna ustanova s javnim ovlastima koja djelatnost obavlja kao javna služba te kao sastavnica Sveučilišta u Zagrebu.  S pravnom osobnosti, ustrojava i izvodi sveučilišne studije u polju veterinarske medicine te znanstveni i stručni rad  primarno u polju veterinarske medicine, u području biomedicine i zdravstva te području biootehničkih i prirodnih znanosti. Fakultet je upisan u sudski registar Trgovačkog suda u Zagrebu i u Upisnik visokih učilišta. Veterinarski fakultet jedini je veterinarski fakultet na području Republike Hrvatske. Osnovan je 1919. godine kao Veterinarska visoka škola, a godine 1924. škola je prerasla u Veterinarski fakultet koji postaje sastavnicom Sveučilišta u Zagrebu. S dugom tradicijom i izgrađenim kriterijima izvrsnosti nedjeljiv je od razvoja veterinarske profesije na području Hrvatske. Unutar Sveučilišta u Zagrebu Fakultet je među manjim brojem visokoškolskih ustanova koji je postigao status međunarodno akreditirane ustanove koji mu je, nakon strogog evaluacijskog procesa dodijelila Europska udruga ustanova veterinarskog obrazovanja (eng. The European Association of Establishments for Veterinary Education, EAEVE) čime je Fakultet svrstan uz sam bok najboljih veterinarskih fakulteta u Europi.</w:t>
      </w:r>
    </w:p>
    <w:p w14:paraId="1253E8DA" w14:textId="77777777" w:rsidR="00351FDD" w:rsidRPr="001E2B7E" w:rsidRDefault="00351FDD" w:rsidP="00351FDD">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 xml:space="preserve">Sve aktivnosti Fakulteta strogo su usmjerene ka neprestanom unapređivanju svih djelatnosti od izvrsnosti u poučavanju, kontinuiranom osuvremenjivanju studijskih programa, provođenju interdisciplinarnih i primijenjenih istraživanja do pružanja visokostručnih usluga u Sveučilišnoj veterinarskoj bolnici, laboratorijima i kroz ekspertize naših stručnjaka. Osobita pozornost pritom se posvećuje očuvanju i promicanju integriteta u znanstvenom i stručnom radu pri čemu se njeguje kultura odgovornosti, poštovanja i pridržavanja visokih etičkih načela u svim segmentima djelovanja. </w:t>
      </w:r>
    </w:p>
    <w:p w14:paraId="371C8E6D" w14:textId="77777777" w:rsidR="00351FDD" w:rsidRPr="001E2B7E" w:rsidRDefault="00351FDD" w:rsidP="00351FDD">
      <w:pPr>
        <w:tabs>
          <w:tab w:val="left" w:pos="0"/>
          <w:tab w:val="left" w:pos="426"/>
        </w:tabs>
        <w:spacing w:after="0"/>
        <w:jc w:val="both"/>
        <w:rPr>
          <w:rFonts w:ascii="Times New Roman" w:hAnsi="Times New Roman" w:cs="Times New Roman"/>
          <w:sz w:val="24"/>
          <w:szCs w:val="24"/>
        </w:rPr>
      </w:pPr>
      <w:r w:rsidRPr="001E2B7E">
        <w:rPr>
          <w:rFonts w:ascii="Times New Roman" w:hAnsi="Times New Roman" w:cs="Times New Roman"/>
          <w:sz w:val="24"/>
          <w:szCs w:val="24"/>
        </w:rPr>
        <w:t>Djelatnosti Fakulteta su:</w:t>
      </w:r>
    </w:p>
    <w:p w14:paraId="5D90C0DD" w14:textId="77777777" w:rsidR="00351FDD" w:rsidRPr="001E2B7E" w:rsidRDefault="00351FDD" w:rsidP="00351FDD">
      <w:pPr>
        <w:pStyle w:val="ListParagraph"/>
        <w:numPr>
          <w:ilvl w:val="0"/>
          <w:numId w:val="15"/>
        </w:numPr>
        <w:tabs>
          <w:tab w:val="left" w:pos="426"/>
          <w:tab w:val="left" w:pos="1134"/>
        </w:tabs>
        <w:spacing w:after="0"/>
        <w:ind w:left="1134" w:hanging="425"/>
        <w:jc w:val="both"/>
        <w:rPr>
          <w:rFonts w:ascii="Times New Roman" w:hAnsi="Times New Roman" w:cs="Times New Roman"/>
          <w:sz w:val="24"/>
          <w:szCs w:val="24"/>
        </w:rPr>
      </w:pPr>
      <w:r w:rsidRPr="001E2B7E">
        <w:rPr>
          <w:rFonts w:ascii="Times New Roman" w:hAnsi="Times New Roman" w:cs="Times New Roman"/>
          <w:sz w:val="24"/>
          <w:szCs w:val="24"/>
        </w:rPr>
        <w:t>Ustroj i izvedba sveučilišnih studija: Sveučilišni integrirani prijediplomski i diplomski studij Veterinarska medicina (na hrvatskom jeziku i istovjetni studij na engleskom jeziku), sveučilišni poslijediplomski studiji: doktorski studij Veterinarske znanosti i sveučilišni specijalistički studiji</w:t>
      </w:r>
    </w:p>
    <w:p w14:paraId="1543D340"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Ustroj i izvedba programa cjeloživotnog učenja i obrazovanja odraslih</w:t>
      </w:r>
    </w:p>
    <w:p w14:paraId="660C067B"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Znanstveni i stručni rad</w:t>
      </w:r>
    </w:p>
    <w:p w14:paraId="76617A6A"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Ustrojavanje i izvedba različitih oblika stručnog i znanstvenog usavršavanja</w:t>
      </w:r>
    </w:p>
    <w:p w14:paraId="14A23DA1"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Provođenje veterinarske djelatnosti</w:t>
      </w:r>
    </w:p>
    <w:p w14:paraId="2F230C8D"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Veterinarska ljekarna za potrebe obavljanja osnovne djelatnosti</w:t>
      </w:r>
    </w:p>
    <w:p w14:paraId="6EA54680"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Pružanje veterinarskih usluga</w:t>
      </w:r>
    </w:p>
    <w:p w14:paraId="558E8F10"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Kliničko i ambulantno liječenje i zaštita zdravlja životinja</w:t>
      </w:r>
    </w:p>
    <w:p w14:paraId="59134EAC" w14:textId="77777777" w:rsidR="00351FDD" w:rsidRPr="001E2B7E" w:rsidRDefault="00351FDD" w:rsidP="00351FDD">
      <w:pPr>
        <w:pStyle w:val="ListParagraph"/>
        <w:numPr>
          <w:ilvl w:val="0"/>
          <w:numId w:val="15"/>
        </w:numPr>
        <w:tabs>
          <w:tab w:val="left" w:pos="426"/>
          <w:tab w:val="left" w:pos="1134"/>
        </w:tabs>
        <w:spacing w:after="0"/>
        <w:ind w:left="1134" w:hanging="425"/>
        <w:jc w:val="both"/>
        <w:rPr>
          <w:rFonts w:ascii="Times New Roman" w:hAnsi="Times New Roman" w:cs="Times New Roman"/>
          <w:sz w:val="24"/>
          <w:szCs w:val="24"/>
        </w:rPr>
      </w:pPr>
      <w:r w:rsidRPr="001E2B7E">
        <w:rPr>
          <w:rFonts w:ascii="Times New Roman" w:hAnsi="Times New Roman" w:cs="Times New Roman"/>
          <w:sz w:val="24"/>
          <w:szCs w:val="24"/>
        </w:rPr>
        <w:lastRenderedPageBreak/>
        <w:t>Zaštita zdravlja ljudi ni ekonomskih interesa potrošača kroz veterinarsko javno zdravstvo ni ukupnu aktivnost veterinarske struke</w:t>
      </w:r>
    </w:p>
    <w:p w14:paraId="54BE11F9"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Terenska, klinička i laboratorijska dijagnostika te preventiva i suzbijanje bolesti životinja</w:t>
      </w:r>
    </w:p>
    <w:p w14:paraId="1AC4501B" w14:textId="77777777" w:rsidR="00351FDD" w:rsidRPr="001E2B7E" w:rsidRDefault="00351FDD" w:rsidP="00351FDD">
      <w:pPr>
        <w:pStyle w:val="ListParagraph"/>
        <w:numPr>
          <w:ilvl w:val="0"/>
          <w:numId w:val="15"/>
        </w:numPr>
        <w:tabs>
          <w:tab w:val="left" w:pos="426"/>
          <w:tab w:val="left" w:pos="1134"/>
        </w:tabs>
        <w:spacing w:after="0"/>
        <w:ind w:left="1134" w:hanging="425"/>
        <w:jc w:val="both"/>
        <w:rPr>
          <w:rFonts w:ascii="Times New Roman" w:hAnsi="Times New Roman" w:cs="Times New Roman"/>
          <w:sz w:val="24"/>
          <w:szCs w:val="24"/>
        </w:rPr>
      </w:pPr>
      <w:r w:rsidRPr="001E2B7E">
        <w:rPr>
          <w:rFonts w:ascii="Times New Roman" w:hAnsi="Times New Roman" w:cs="Times New Roman"/>
          <w:sz w:val="24"/>
          <w:szCs w:val="24"/>
        </w:rPr>
        <w:t>Kliničko i laboratorijsko testiranje lijekova i ljekovitih pripravaka za registraciju i veterinarska farmakovigilancija</w:t>
      </w:r>
    </w:p>
    <w:p w14:paraId="7841DCB2" w14:textId="77777777" w:rsidR="00351FDD" w:rsidRPr="001E2B7E" w:rsidRDefault="00351FDD" w:rsidP="00351FDD">
      <w:pPr>
        <w:pStyle w:val="ListParagraph"/>
        <w:numPr>
          <w:ilvl w:val="0"/>
          <w:numId w:val="15"/>
        </w:numPr>
        <w:tabs>
          <w:tab w:val="left" w:pos="426"/>
          <w:tab w:val="left" w:pos="1134"/>
        </w:tabs>
        <w:spacing w:after="0"/>
        <w:ind w:left="1134" w:hanging="425"/>
        <w:jc w:val="both"/>
        <w:rPr>
          <w:rFonts w:ascii="Times New Roman" w:hAnsi="Times New Roman" w:cs="Times New Roman"/>
          <w:sz w:val="24"/>
          <w:szCs w:val="24"/>
        </w:rPr>
      </w:pPr>
      <w:r w:rsidRPr="001E2B7E">
        <w:rPr>
          <w:rFonts w:ascii="Times New Roman" w:hAnsi="Times New Roman" w:cs="Times New Roman"/>
          <w:sz w:val="24"/>
          <w:szCs w:val="24"/>
        </w:rPr>
        <w:t>Sudjelovanje u organizaciji veterinarstva, uzgoja životinja, stočarske proizvodnje te proizvodnje proizvoda životinjskog podrijetla</w:t>
      </w:r>
    </w:p>
    <w:p w14:paraId="11BC7E0C" w14:textId="77777777" w:rsidR="00351FDD" w:rsidRPr="001E2B7E" w:rsidRDefault="00351FDD" w:rsidP="00351FDD">
      <w:pPr>
        <w:pStyle w:val="ListParagraph"/>
        <w:numPr>
          <w:ilvl w:val="0"/>
          <w:numId w:val="15"/>
        </w:numPr>
        <w:tabs>
          <w:tab w:val="left" w:pos="426"/>
          <w:tab w:val="left" w:pos="1134"/>
        </w:tabs>
        <w:spacing w:after="0"/>
        <w:ind w:left="1134" w:hanging="425"/>
        <w:jc w:val="both"/>
        <w:rPr>
          <w:rFonts w:ascii="Times New Roman" w:hAnsi="Times New Roman" w:cs="Times New Roman"/>
          <w:sz w:val="24"/>
          <w:szCs w:val="24"/>
        </w:rPr>
      </w:pPr>
      <w:r w:rsidRPr="001E2B7E">
        <w:rPr>
          <w:rFonts w:ascii="Times New Roman" w:hAnsi="Times New Roman" w:cs="Times New Roman"/>
          <w:sz w:val="24"/>
          <w:szCs w:val="24"/>
        </w:rPr>
        <w:t>Projektiranje na područjima veterinarstva, poljoprivrede, prerađivačke industrije i zaštite okoliša</w:t>
      </w:r>
    </w:p>
    <w:p w14:paraId="073C3CB3" w14:textId="77777777" w:rsidR="00351FDD" w:rsidRPr="001E2B7E" w:rsidRDefault="00351FDD" w:rsidP="00351FDD">
      <w:pPr>
        <w:pStyle w:val="ListParagraph"/>
        <w:numPr>
          <w:ilvl w:val="0"/>
          <w:numId w:val="15"/>
        </w:numPr>
        <w:tabs>
          <w:tab w:val="left" w:pos="426"/>
          <w:tab w:val="left" w:pos="1134"/>
        </w:tabs>
        <w:spacing w:after="0"/>
        <w:ind w:left="1134" w:hanging="425"/>
        <w:jc w:val="both"/>
        <w:rPr>
          <w:rFonts w:ascii="Times New Roman" w:hAnsi="Times New Roman" w:cs="Times New Roman"/>
          <w:sz w:val="24"/>
          <w:szCs w:val="24"/>
        </w:rPr>
      </w:pPr>
      <w:r w:rsidRPr="001E2B7E">
        <w:rPr>
          <w:rFonts w:ascii="Times New Roman" w:hAnsi="Times New Roman" w:cs="Times New Roman"/>
          <w:sz w:val="24"/>
          <w:szCs w:val="24"/>
        </w:rPr>
        <w:t>Ocjenjivanje zdravstvene ispravnosti i kakvoće krmiva, krmnih smjesa, životinjske hrane i dodataka hrani te davanje stručnih ocjena i mišljenja</w:t>
      </w:r>
    </w:p>
    <w:p w14:paraId="2CF14431"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Ocjenjivanje zdravstvene ispravnosti vode za piće te davanje stručnih ocjena i mišljenja</w:t>
      </w:r>
    </w:p>
    <w:p w14:paraId="3ED1E93D" w14:textId="77777777" w:rsidR="00351FDD" w:rsidRPr="001E2B7E" w:rsidRDefault="00351FDD" w:rsidP="00351FDD">
      <w:pPr>
        <w:pStyle w:val="ListParagraph"/>
        <w:numPr>
          <w:ilvl w:val="0"/>
          <w:numId w:val="15"/>
        </w:numPr>
        <w:tabs>
          <w:tab w:val="left" w:pos="426"/>
          <w:tab w:val="left" w:pos="1134"/>
        </w:tabs>
        <w:spacing w:after="0"/>
        <w:ind w:left="1134" w:hanging="425"/>
        <w:jc w:val="both"/>
        <w:rPr>
          <w:rFonts w:ascii="Times New Roman" w:hAnsi="Times New Roman" w:cs="Times New Roman"/>
          <w:sz w:val="24"/>
          <w:szCs w:val="24"/>
        </w:rPr>
      </w:pPr>
      <w:r w:rsidRPr="001E2B7E">
        <w:rPr>
          <w:rFonts w:ascii="Times New Roman" w:hAnsi="Times New Roman" w:cs="Times New Roman"/>
          <w:sz w:val="24"/>
          <w:szCs w:val="24"/>
        </w:rPr>
        <w:t>Ocjenjivanje zdravstvene ispravnosti i kakvoće te unapređenje tehnološkog procesa proizvodnje hrane životinjskog podrijetla uz davanje stručnih ocjena i mišljenja</w:t>
      </w:r>
    </w:p>
    <w:p w14:paraId="15ED900C" w14:textId="77777777" w:rsidR="00351FDD" w:rsidRPr="001E2B7E" w:rsidRDefault="00351FDD" w:rsidP="00351FDD">
      <w:pPr>
        <w:pStyle w:val="ListParagraph"/>
        <w:numPr>
          <w:ilvl w:val="0"/>
          <w:numId w:val="15"/>
        </w:numPr>
        <w:tabs>
          <w:tab w:val="left" w:pos="426"/>
          <w:tab w:val="left" w:pos="1134"/>
        </w:tabs>
        <w:spacing w:after="0"/>
        <w:ind w:left="1134" w:hanging="425"/>
        <w:jc w:val="both"/>
        <w:rPr>
          <w:rFonts w:ascii="Times New Roman" w:hAnsi="Times New Roman" w:cs="Times New Roman"/>
          <w:sz w:val="24"/>
          <w:szCs w:val="24"/>
        </w:rPr>
      </w:pPr>
      <w:r w:rsidRPr="001E2B7E">
        <w:rPr>
          <w:rFonts w:ascii="Times New Roman" w:hAnsi="Times New Roman" w:cs="Times New Roman"/>
          <w:sz w:val="24"/>
          <w:szCs w:val="24"/>
        </w:rPr>
        <w:t>Proizvodnja dijagnostičkih sredstava, cjepiva i drugih pripravaka za uporabu u veterinarstvu</w:t>
      </w:r>
    </w:p>
    <w:p w14:paraId="55BBC964"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Vještačenja i ekspertize</w:t>
      </w:r>
    </w:p>
    <w:p w14:paraId="2029E18A"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Organiziranje i izvođenje pokusa na životinjama u znanstvene i nastavne svrhe</w:t>
      </w:r>
    </w:p>
    <w:p w14:paraId="01BE274E"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Razudbe lešina i patohistološke pretrage</w:t>
      </w:r>
    </w:p>
    <w:p w14:paraId="76F68957"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Uzgoj, zdravstvena zaštita i iskorištavanje divljači te izrada lovno-gospodarskih osnova</w:t>
      </w:r>
    </w:p>
    <w:p w14:paraId="6AFFBCAD" w14:textId="77777777" w:rsidR="00351FDD" w:rsidRPr="001E2B7E" w:rsidRDefault="00351FDD" w:rsidP="00351FDD">
      <w:pPr>
        <w:pStyle w:val="ListParagraph"/>
        <w:numPr>
          <w:ilvl w:val="0"/>
          <w:numId w:val="15"/>
        </w:numPr>
        <w:tabs>
          <w:tab w:val="left" w:pos="426"/>
          <w:tab w:val="left" w:pos="1134"/>
        </w:tabs>
        <w:spacing w:after="0"/>
        <w:ind w:left="1134" w:hanging="425"/>
        <w:jc w:val="both"/>
        <w:rPr>
          <w:rFonts w:ascii="Times New Roman" w:hAnsi="Times New Roman" w:cs="Times New Roman"/>
          <w:sz w:val="24"/>
          <w:szCs w:val="24"/>
        </w:rPr>
      </w:pPr>
      <w:r w:rsidRPr="001E2B7E">
        <w:rPr>
          <w:rFonts w:ascii="Times New Roman" w:hAnsi="Times New Roman" w:cs="Times New Roman"/>
          <w:sz w:val="24"/>
          <w:szCs w:val="24"/>
        </w:rPr>
        <w:t>Prijevoz osoba, domaćih životinja, divljači, divljačine i proizvoda od divljači za vlastite potrebe u unutarnjem i međunarodnom cestovnom prometu</w:t>
      </w:r>
    </w:p>
    <w:p w14:paraId="6FF6232B"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Uzgoj i držanje laboratorijskih i egzotičnih životinja za potrebe Fakulteta</w:t>
      </w:r>
    </w:p>
    <w:p w14:paraId="50B01F3B"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Kliničko i laboratorijsko ispitivanje hrane za životinje</w:t>
      </w:r>
    </w:p>
    <w:p w14:paraId="0FAB08F5"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Istraživanje okoliša životinja i očuvanje biološke raznolikosti</w:t>
      </w:r>
    </w:p>
    <w:p w14:paraId="2F834F69"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Organiziranje znanstvenih i stručnih skupova</w:t>
      </w:r>
    </w:p>
    <w:p w14:paraId="5B8A2FA8"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Suradnja s trgovačkim društvima, ustanovama, organizacijama i udrugama</w:t>
      </w:r>
    </w:p>
    <w:p w14:paraId="5F5328EE"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Izdavačka i informatička djelatnost za potrebe nastave te znanstvenog i stručnog rada</w:t>
      </w:r>
    </w:p>
    <w:p w14:paraId="145617B1" w14:textId="77777777" w:rsidR="00351FDD" w:rsidRPr="001E2B7E" w:rsidRDefault="00351FDD" w:rsidP="00351FDD">
      <w:pPr>
        <w:pStyle w:val="ListParagraph"/>
        <w:numPr>
          <w:ilvl w:val="0"/>
          <w:numId w:val="15"/>
        </w:numPr>
        <w:tabs>
          <w:tab w:val="left" w:pos="426"/>
          <w:tab w:val="left" w:pos="1134"/>
        </w:tabs>
        <w:spacing w:after="0"/>
        <w:ind w:left="1134" w:hanging="425"/>
        <w:jc w:val="both"/>
        <w:rPr>
          <w:rFonts w:ascii="Times New Roman" w:hAnsi="Times New Roman" w:cs="Times New Roman"/>
          <w:sz w:val="24"/>
          <w:szCs w:val="24"/>
        </w:rPr>
      </w:pPr>
      <w:r w:rsidRPr="001E2B7E">
        <w:rPr>
          <w:rFonts w:ascii="Times New Roman" w:hAnsi="Times New Roman" w:cs="Times New Roman"/>
          <w:sz w:val="24"/>
          <w:szCs w:val="24"/>
        </w:rPr>
        <w:t>Prodaja udžbenika, časopisa, tiskanica i drugih materijala potrebnih za obavljanje djelatnosti fakulteta</w:t>
      </w:r>
    </w:p>
    <w:p w14:paraId="45D7A3FD"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Prijevoz konfiskata i lešina životinja potrebnih za nastavni, znanstveni i stručni rad</w:t>
      </w:r>
    </w:p>
    <w:p w14:paraId="7CBAEDB5"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Ocjenjivanje zdravstvene kvalitete zraka te davanje stručnih mišljenja i ocjena</w:t>
      </w:r>
    </w:p>
    <w:p w14:paraId="2A3E3FED"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Iznajmljivanje i upravljanje vlastitim nekretninama te opremom i uređajima</w:t>
      </w:r>
    </w:p>
    <w:p w14:paraId="312734A6"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Ustroj i izvedba programa stručnog cjeloživotnog obrazovanja i usavršavanja</w:t>
      </w:r>
    </w:p>
    <w:p w14:paraId="481B9E12"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Znanstveno istraživanje i razvoj</w:t>
      </w:r>
    </w:p>
    <w:p w14:paraId="668BE33E"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Muzejska djelatnost</w:t>
      </w:r>
    </w:p>
    <w:p w14:paraId="1F999F09"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Djelatnost knjižnica i arhiva</w:t>
      </w:r>
    </w:p>
    <w:p w14:paraId="6376EA1E"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Uslužne djelatnosti za potrebe Fakulteta u obavljanju njegove djelatnosti</w:t>
      </w:r>
    </w:p>
    <w:p w14:paraId="64007689"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Prodaja proizvoda nastalih iz djelatnosti Fakulteta  (lov, lovstvo, promet divljači i slično)</w:t>
      </w:r>
    </w:p>
    <w:p w14:paraId="00D0465B"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Ocjena mikroklimatskih uvjeta i mjera biosigurnosti te davanje stručnih ocjena i mišljenja</w:t>
      </w:r>
    </w:p>
    <w:p w14:paraId="5127C9B4"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Ocjena mikroklimatskih uvjeta i mjera biosigurnosti te davanje stručnih ocjena i mišljenja</w:t>
      </w:r>
    </w:p>
    <w:p w14:paraId="7E71E484"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Analiza proizvodnosti i dobre farmske prakse te izrada stručnih mišljenja</w:t>
      </w:r>
    </w:p>
    <w:p w14:paraId="7258975B"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Procjena dobrobiti životinja te davanje stručnih ocjena i mišljenja</w:t>
      </w:r>
    </w:p>
    <w:p w14:paraId="4BB3848E" w14:textId="77777777" w:rsidR="00351FDD" w:rsidRPr="001E2B7E" w:rsidRDefault="00351FDD" w:rsidP="00351FDD">
      <w:pPr>
        <w:pStyle w:val="ListParagraph"/>
        <w:numPr>
          <w:ilvl w:val="0"/>
          <w:numId w:val="15"/>
        </w:numPr>
        <w:tabs>
          <w:tab w:val="left" w:pos="426"/>
          <w:tab w:val="left" w:pos="1134"/>
        </w:tabs>
        <w:spacing w:after="0"/>
        <w:ind w:left="709" w:firstLine="0"/>
        <w:jc w:val="both"/>
        <w:rPr>
          <w:rFonts w:ascii="Times New Roman" w:hAnsi="Times New Roman" w:cs="Times New Roman"/>
          <w:sz w:val="24"/>
          <w:szCs w:val="24"/>
        </w:rPr>
      </w:pPr>
      <w:r w:rsidRPr="001E2B7E">
        <w:rPr>
          <w:rFonts w:ascii="Times New Roman" w:hAnsi="Times New Roman" w:cs="Times New Roman"/>
          <w:sz w:val="24"/>
          <w:szCs w:val="24"/>
        </w:rPr>
        <w:t>Stručna i znanstvena istraživanja u području ribarstva i pčelarstvu.</w:t>
      </w:r>
    </w:p>
    <w:p w14:paraId="156084A6" w14:textId="3A5A86BF" w:rsidR="00351FDD" w:rsidRPr="001E2B7E" w:rsidRDefault="00351FDD" w:rsidP="00351FDD">
      <w:pPr>
        <w:spacing w:line="240" w:lineRule="auto"/>
        <w:jc w:val="both"/>
        <w:rPr>
          <w:rFonts w:ascii="Times New Roman" w:hAnsi="Times New Roman" w:cs="Times New Roman"/>
          <w:sz w:val="24"/>
          <w:szCs w:val="24"/>
        </w:rPr>
      </w:pPr>
    </w:p>
    <w:p w14:paraId="252ED47D" w14:textId="5B1E6528" w:rsidR="00351FDD" w:rsidRPr="001E2B7E" w:rsidRDefault="00351FDD" w:rsidP="00351FDD">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Ustrojstvene jedinice Fakulteta su: Odjel za temeljne prirodne i pretkliničke znanosti, Odjel klinika Veterinarskoga fakulteta, Odjel za animalnu proizvodnju i biotehnologiju, Odjel za veterinarsko javno zdravstvo i sigurnost hrane, Sveučilišna veterinarska bolnica, Znanstveno-nastavni poligoni i Uprava Fakulteta.</w:t>
      </w:r>
    </w:p>
    <w:p w14:paraId="1C28E3D9" w14:textId="77777777" w:rsidR="00351FDD" w:rsidRPr="001E2B7E" w:rsidRDefault="00351FDD" w:rsidP="00351FDD">
      <w:pPr>
        <w:spacing w:line="240" w:lineRule="auto"/>
        <w:jc w:val="both"/>
        <w:rPr>
          <w:rFonts w:ascii="Times New Roman" w:hAnsi="Times New Roman" w:cs="Times New Roman"/>
          <w:sz w:val="24"/>
          <w:szCs w:val="24"/>
        </w:rPr>
      </w:pPr>
    </w:p>
    <w:p w14:paraId="7D561D06" w14:textId="51FA9787" w:rsidR="00F815A6" w:rsidRPr="001E2B7E" w:rsidRDefault="00846CD9" w:rsidP="00351FDD">
      <w:pPr>
        <w:pBdr>
          <w:top w:val="dotted" w:sz="4" w:space="1" w:color="808080" w:themeColor="background1" w:themeShade="80"/>
          <w:bottom w:val="dotted" w:sz="4" w:space="1" w:color="808080" w:themeColor="background1" w:themeShade="80"/>
        </w:pBdr>
        <w:shd w:val="clear" w:color="auto" w:fill="D0CECE" w:themeFill="background2" w:themeFillShade="E6"/>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A</w:t>
      </w:r>
      <w:r w:rsidR="00946BC1">
        <w:rPr>
          <w:rFonts w:ascii="Times New Roman" w:hAnsi="Times New Roman" w:cs="Times New Roman"/>
          <w:sz w:val="24"/>
          <w:szCs w:val="24"/>
        </w:rPr>
        <w:t>679134</w:t>
      </w:r>
      <w:r w:rsidRPr="001E2B7E">
        <w:rPr>
          <w:rFonts w:ascii="Times New Roman" w:hAnsi="Times New Roman" w:cs="Times New Roman"/>
          <w:sz w:val="24"/>
          <w:szCs w:val="24"/>
        </w:rPr>
        <w:t xml:space="preserve"> </w:t>
      </w:r>
      <w:r w:rsidR="0063566D" w:rsidRPr="001E2B7E">
        <w:rPr>
          <w:rFonts w:ascii="Times New Roman" w:hAnsi="Times New Roman" w:cs="Times New Roman"/>
          <w:sz w:val="24"/>
          <w:szCs w:val="24"/>
        </w:rPr>
        <w:t>Programsko financiranje javnih visokih učilišta</w:t>
      </w:r>
      <w:r w:rsidR="00946BC1">
        <w:rPr>
          <w:rFonts w:ascii="Times New Roman" w:hAnsi="Times New Roman" w:cs="Times New Roman"/>
          <w:sz w:val="24"/>
          <w:szCs w:val="24"/>
        </w:rPr>
        <w:t xml:space="preserve"> 2025.-2029.</w:t>
      </w:r>
    </w:p>
    <w:p w14:paraId="6BA45B99" w14:textId="77777777" w:rsidR="00F04095" w:rsidRPr="001E2B7E" w:rsidRDefault="00846CD9" w:rsidP="00351FDD">
      <w:pPr>
        <w:spacing w:line="240" w:lineRule="auto"/>
        <w:rPr>
          <w:rFonts w:ascii="Times New Roman" w:hAnsi="Times New Roman" w:cs="Times New Roman"/>
          <w:sz w:val="24"/>
          <w:szCs w:val="24"/>
        </w:rPr>
      </w:pPr>
      <w:r w:rsidRPr="001E2B7E">
        <w:rPr>
          <w:rFonts w:ascii="Times New Roman" w:hAnsi="Times New Roman" w:cs="Times New Roman"/>
          <w:sz w:val="24"/>
          <w:szCs w:val="24"/>
        </w:rPr>
        <w:t>Zakonske i druge pravne osnove</w:t>
      </w:r>
    </w:p>
    <w:p w14:paraId="13584C63" w14:textId="620720FE" w:rsidR="00F815A6" w:rsidRPr="001E2B7E" w:rsidRDefault="00C248FF" w:rsidP="00C248FF">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 xml:space="preserve">Zakon o ustanovama, Zakon o znanstvenoj djelatnosti i visokom obrazovanju, Zakon o proračunu, Zakon o javnoj nabavi, Zakon o porezu na dodanu vrijednost, Zakon o fisklanoj odgovornosti, Pravilnik o planiranju u sustavu proračuna, Pravilnik o proračunskom računovodstvu i Računskom planu, Pravilnik o proračunskim klasifikacijama, Pravilnik o korištenju sredstava Europske unije, Uredba o nazivima radnih mjesta, uvjetima za raspored i koeficijentima za obračun plaće u javnim službama, Pravilnik o financijskom izvještavanju u proračunskom računovodstvu, Temeljni kolektivni ugovor za službenike i namještenike u javnim službama, Kolektivni ugovor za znanost i visoko obrazovanje, te drugi zakonski propisi koji uređuju područje i djelokrug rada </w:t>
      </w:r>
      <w:r w:rsidR="0022282A">
        <w:rPr>
          <w:rFonts w:ascii="Times New Roman" w:hAnsi="Times New Roman" w:cs="Times New Roman"/>
          <w:sz w:val="24"/>
          <w:szCs w:val="24"/>
        </w:rPr>
        <w:t>Veterinarskog</w:t>
      </w:r>
      <w:r w:rsidRPr="001E2B7E">
        <w:rPr>
          <w:rFonts w:ascii="Times New Roman" w:hAnsi="Times New Roman" w:cs="Times New Roman"/>
          <w:sz w:val="24"/>
          <w:szCs w:val="24"/>
        </w:rPr>
        <w:t xml:space="preserve"> fakulteta, Upute za izradu financijskog plana razdjela 080 – Ministarstvo znanosti, obrazovanja i mladih  za razdoblje 2026. – 2028., Upute za izradu prijedloga financijskog plana Sveučilišta u Zagrebu za razdoblje 2026. – 2028.</w:t>
      </w:r>
    </w:p>
    <w:tbl>
      <w:tblPr>
        <w:tblW w:w="8820" w:type="dxa"/>
        <w:tblLook w:val="04A0" w:firstRow="1" w:lastRow="0" w:firstColumn="1" w:lastColumn="0" w:noHBand="0" w:noVBand="1"/>
      </w:tblPr>
      <w:tblGrid>
        <w:gridCol w:w="1402"/>
        <w:gridCol w:w="1298"/>
        <w:gridCol w:w="1296"/>
        <w:gridCol w:w="1296"/>
        <w:gridCol w:w="1296"/>
        <w:gridCol w:w="1296"/>
        <w:gridCol w:w="936"/>
      </w:tblGrid>
      <w:tr w:rsidR="00B676ED" w:rsidRPr="001E2B7E" w14:paraId="0CDC41A2" w14:textId="77777777" w:rsidTr="00B676ED">
        <w:trPr>
          <w:trHeight w:val="450"/>
        </w:trPr>
        <w:tc>
          <w:tcPr>
            <w:tcW w:w="1402"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3D773301" w14:textId="77777777" w:rsidR="00B676ED" w:rsidRPr="001E2B7E" w:rsidRDefault="00B676ED"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298"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20EC7A51" w14:textId="5374F2C3" w:rsidR="00B676ED" w:rsidRPr="001E2B7E" w:rsidRDefault="00B676ED"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Izvršenje 202</w:t>
            </w:r>
            <w:r w:rsidR="00C248FF" w:rsidRPr="001E2B7E">
              <w:rPr>
                <w:rFonts w:ascii="Times New Roman" w:eastAsia="Times New Roman" w:hAnsi="Times New Roman" w:cs="Times New Roman"/>
                <w:color w:val="000000"/>
                <w:sz w:val="24"/>
                <w:szCs w:val="24"/>
              </w:rPr>
              <w:t>4</w:t>
            </w:r>
            <w:r w:rsidRPr="001E2B7E">
              <w:rPr>
                <w:rFonts w:ascii="Times New Roman" w:eastAsia="Times New Roman" w:hAnsi="Times New Roman" w:cs="Times New Roman"/>
                <w:color w:val="000000"/>
                <w:sz w:val="24"/>
                <w:szCs w:val="24"/>
              </w:rPr>
              <w:t>.</w:t>
            </w:r>
          </w:p>
        </w:tc>
        <w:tc>
          <w:tcPr>
            <w:tcW w:w="1296"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2B1D3DCF" w14:textId="22F957FF" w:rsidR="00B676ED" w:rsidRPr="001E2B7E" w:rsidRDefault="00B676ED"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Plan 202</w:t>
            </w:r>
            <w:r w:rsidR="00C248FF" w:rsidRPr="001E2B7E">
              <w:rPr>
                <w:rFonts w:ascii="Times New Roman" w:eastAsia="Times New Roman" w:hAnsi="Times New Roman" w:cs="Times New Roman"/>
                <w:color w:val="000000"/>
                <w:sz w:val="24"/>
                <w:szCs w:val="24"/>
              </w:rPr>
              <w:t>5</w:t>
            </w:r>
            <w:r w:rsidRPr="001E2B7E">
              <w:rPr>
                <w:rFonts w:ascii="Times New Roman" w:eastAsia="Times New Roman" w:hAnsi="Times New Roman" w:cs="Times New Roman"/>
                <w:color w:val="000000"/>
                <w:sz w:val="24"/>
                <w:szCs w:val="24"/>
              </w:rPr>
              <w:t>.</w:t>
            </w:r>
          </w:p>
        </w:tc>
        <w:tc>
          <w:tcPr>
            <w:tcW w:w="1296"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1BD8F383" w14:textId="0473DFDA" w:rsidR="00B676ED" w:rsidRPr="001E2B7E" w:rsidRDefault="00B676ED"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Plan 202</w:t>
            </w:r>
            <w:r w:rsidR="00C248FF" w:rsidRPr="001E2B7E">
              <w:rPr>
                <w:rFonts w:ascii="Times New Roman" w:eastAsia="Times New Roman" w:hAnsi="Times New Roman" w:cs="Times New Roman"/>
                <w:color w:val="000000"/>
                <w:sz w:val="24"/>
                <w:szCs w:val="24"/>
              </w:rPr>
              <w:t>6</w:t>
            </w:r>
            <w:r w:rsidRPr="001E2B7E">
              <w:rPr>
                <w:rFonts w:ascii="Times New Roman" w:eastAsia="Times New Roman" w:hAnsi="Times New Roman" w:cs="Times New Roman"/>
                <w:color w:val="000000"/>
                <w:sz w:val="24"/>
                <w:szCs w:val="24"/>
              </w:rPr>
              <w:t>.</w:t>
            </w:r>
          </w:p>
        </w:tc>
        <w:tc>
          <w:tcPr>
            <w:tcW w:w="1296"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6D029CBD" w14:textId="205E4A3D" w:rsidR="00B676ED" w:rsidRPr="001E2B7E" w:rsidRDefault="00B676ED"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Projekcija 202</w:t>
            </w:r>
            <w:r w:rsidR="00C248FF" w:rsidRPr="001E2B7E">
              <w:rPr>
                <w:rFonts w:ascii="Times New Roman" w:eastAsia="Times New Roman" w:hAnsi="Times New Roman" w:cs="Times New Roman"/>
                <w:color w:val="000000"/>
                <w:sz w:val="24"/>
                <w:szCs w:val="24"/>
              </w:rPr>
              <w:t>7</w:t>
            </w:r>
            <w:r w:rsidRPr="001E2B7E">
              <w:rPr>
                <w:rFonts w:ascii="Times New Roman" w:eastAsia="Times New Roman" w:hAnsi="Times New Roman" w:cs="Times New Roman"/>
                <w:color w:val="000000"/>
                <w:sz w:val="24"/>
                <w:szCs w:val="24"/>
              </w:rPr>
              <w:t>.</w:t>
            </w:r>
          </w:p>
        </w:tc>
        <w:tc>
          <w:tcPr>
            <w:tcW w:w="1296"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1843E8B0" w14:textId="6F8852C7" w:rsidR="00B676ED" w:rsidRPr="001E2B7E" w:rsidRDefault="00B676ED"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Projekcija 202</w:t>
            </w:r>
            <w:r w:rsidR="00C248FF" w:rsidRPr="001E2B7E">
              <w:rPr>
                <w:rFonts w:ascii="Times New Roman" w:eastAsia="Times New Roman" w:hAnsi="Times New Roman" w:cs="Times New Roman"/>
                <w:color w:val="000000"/>
                <w:sz w:val="24"/>
                <w:szCs w:val="24"/>
              </w:rPr>
              <w:t>8</w:t>
            </w:r>
            <w:r w:rsidRPr="001E2B7E">
              <w:rPr>
                <w:rFonts w:ascii="Times New Roman" w:eastAsia="Times New Roman" w:hAnsi="Times New Roman" w:cs="Times New Roman"/>
                <w:color w:val="000000"/>
                <w:sz w:val="24"/>
                <w:szCs w:val="24"/>
              </w:rPr>
              <w:t>.</w:t>
            </w:r>
          </w:p>
        </w:tc>
        <w:tc>
          <w:tcPr>
            <w:tcW w:w="936"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0425C51" w14:textId="76D0789B" w:rsidR="00B676ED" w:rsidRPr="001E2B7E" w:rsidRDefault="00B676ED"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Indeks 2</w:t>
            </w:r>
            <w:r w:rsidR="00C248FF" w:rsidRPr="001E2B7E">
              <w:rPr>
                <w:rFonts w:ascii="Times New Roman" w:eastAsia="Times New Roman" w:hAnsi="Times New Roman" w:cs="Times New Roman"/>
                <w:color w:val="000000"/>
                <w:sz w:val="24"/>
                <w:szCs w:val="24"/>
              </w:rPr>
              <w:t>6</w:t>
            </w:r>
            <w:r w:rsidRPr="001E2B7E">
              <w:rPr>
                <w:rFonts w:ascii="Times New Roman" w:eastAsia="Times New Roman" w:hAnsi="Times New Roman" w:cs="Times New Roman"/>
                <w:color w:val="000000"/>
                <w:sz w:val="24"/>
                <w:szCs w:val="24"/>
              </w:rPr>
              <w:t>./2</w:t>
            </w:r>
            <w:r w:rsidR="00C248FF" w:rsidRPr="001E2B7E">
              <w:rPr>
                <w:rFonts w:ascii="Times New Roman" w:eastAsia="Times New Roman" w:hAnsi="Times New Roman" w:cs="Times New Roman"/>
                <w:color w:val="000000"/>
                <w:sz w:val="24"/>
                <w:szCs w:val="24"/>
              </w:rPr>
              <w:t>5</w:t>
            </w:r>
            <w:r w:rsidRPr="001E2B7E">
              <w:rPr>
                <w:rFonts w:ascii="Times New Roman" w:eastAsia="Times New Roman" w:hAnsi="Times New Roman" w:cs="Times New Roman"/>
                <w:color w:val="000000"/>
                <w:sz w:val="24"/>
                <w:szCs w:val="24"/>
              </w:rPr>
              <w:t>.</w:t>
            </w:r>
          </w:p>
        </w:tc>
      </w:tr>
      <w:tr w:rsidR="00B676ED" w:rsidRPr="001E2B7E" w14:paraId="7E419963" w14:textId="77777777" w:rsidTr="00B676ED">
        <w:trPr>
          <w:trHeight w:val="450"/>
        </w:trPr>
        <w:tc>
          <w:tcPr>
            <w:tcW w:w="1402" w:type="dxa"/>
            <w:vMerge/>
            <w:tcBorders>
              <w:top w:val="single" w:sz="8" w:space="0" w:color="auto"/>
              <w:left w:val="single" w:sz="8" w:space="0" w:color="auto"/>
              <w:bottom w:val="single" w:sz="8" w:space="0" w:color="000000"/>
              <w:right w:val="single" w:sz="8" w:space="0" w:color="auto"/>
            </w:tcBorders>
            <w:vAlign w:val="center"/>
            <w:hideMark/>
          </w:tcPr>
          <w:p w14:paraId="78CE8BC9" w14:textId="77777777" w:rsidR="00B676ED" w:rsidRPr="001E2B7E" w:rsidRDefault="00B676ED" w:rsidP="00351FDD">
            <w:pPr>
              <w:spacing w:after="0" w:line="240" w:lineRule="auto"/>
              <w:rPr>
                <w:rFonts w:ascii="Times New Roman" w:eastAsia="Times New Roman" w:hAnsi="Times New Roman" w:cs="Times New Roman"/>
                <w:color w:val="000000"/>
                <w:sz w:val="24"/>
                <w:szCs w:val="24"/>
              </w:rPr>
            </w:pPr>
          </w:p>
        </w:tc>
        <w:tc>
          <w:tcPr>
            <w:tcW w:w="1298" w:type="dxa"/>
            <w:vMerge/>
            <w:tcBorders>
              <w:top w:val="single" w:sz="8" w:space="0" w:color="auto"/>
              <w:left w:val="single" w:sz="8" w:space="0" w:color="auto"/>
              <w:bottom w:val="single" w:sz="8" w:space="0" w:color="000000"/>
              <w:right w:val="single" w:sz="8" w:space="0" w:color="auto"/>
            </w:tcBorders>
            <w:vAlign w:val="center"/>
            <w:hideMark/>
          </w:tcPr>
          <w:p w14:paraId="26D5A57B" w14:textId="77777777" w:rsidR="00B676ED" w:rsidRPr="001E2B7E" w:rsidRDefault="00B676ED" w:rsidP="00351FDD">
            <w:pPr>
              <w:spacing w:after="0" w:line="240" w:lineRule="auto"/>
              <w:rPr>
                <w:rFonts w:ascii="Times New Roman" w:eastAsia="Times New Roman" w:hAnsi="Times New Roman" w:cs="Times New Roman"/>
                <w:color w:val="000000"/>
                <w:sz w:val="24"/>
                <w:szCs w:val="24"/>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6D3A39F8" w14:textId="77777777" w:rsidR="00B676ED" w:rsidRPr="001E2B7E" w:rsidRDefault="00B676ED" w:rsidP="00351FDD">
            <w:pPr>
              <w:spacing w:after="0" w:line="240" w:lineRule="auto"/>
              <w:rPr>
                <w:rFonts w:ascii="Times New Roman" w:eastAsia="Times New Roman" w:hAnsi="Times New Roman" w:cs="Times New Roman"/>
                <w:color w:val="000000"/>
                <w:sz w:val="24"/>
                <w:szCs w:val="24"/>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6DCEDA93" w14:textId="77777777" w:rsidR="00B676ED" w:rsidRPr="001E2B7E" w:rsidRDefault="00B676ED" w:rsidP="00351FDD">
            <w:pPr>
              <w:spacing w:after="0" w:line="240" w:lineRule="auto"/>
              <w:rPr>
                <w:rFonts w:ascii="Times New Roman" w:eastAsia="Times New Roman" w:hAnsi="Times New Roman" w:cs="Times New Roman"/>
                <w:color w:val="000000"/>
                <w:sz w:val="24"/>
                <w:szCs w:val="24"/>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33A4206E" w14:textId="77777777" w:rsidR="00B676ED" w:rsidRPr="001E2B7E" w:rsidRDefault="00B676ED" w:rsidP="00351FDD">
            <w:pPr>
              <w:spacing w:after="0" w:line="240" w:lineRule="auto"/>
              <w:rPr>
                <w:rFonts w:ascii="Times New Roman" w:eastAsia="Times New Roman" w:hAnsi="Times New Roman" w:cs="Times New Roman"/>
                <w:color w:val="000000"/>
                <w:sz w:val="24"/>
                <w:szCs w:val="24"/>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3A7CEC82" w14:textId="77777777" w:rsidR="00B676ED" w:rsidRPr="001E2B7E" w:rsidRDefault="00B676ED" w:rsidP="00351FDD">
            <w:pPr>
              <w:spacing w:after="0" w:line="240" w:lineRule="auto"/>
              <w:rPr>
                <w:rFonts w:ascii="Times New Roman" w:eastAsia="Times New Roman" w:hAnsi="Times New Roman" w:cs="Times New Roman"/>
                <w:color w:val="000000"/>
                <w:sz w:val="24"/>
                <w:szCs w:val="24"/>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14:paraId="658A1B2E" w14:textId="77777777" w:rsidR="00B676ED" w:rsidRPr="001E2B7E" w:rsidRDefault="00B676ED" w:rsidP="00351FDD">
            <w:pPr>
              <w:spacing w:after="0" w:line="240" w:lineRule="auto"/>
              <w:rPr>
                <w:rFonts w:ascii="Times New Roman" w:eastAsia="Times New Roman" w:hAnsi="Times New Roman" w:cs="Times New Roman"/>
                <w:color w:val="000000"/>
                <w:sz w:val="24"/>
                <w:szCs w:val="24"/>
              </w:rPr>
            </w:pPr>
          </w:p>
        </w:tc>
      </w:tr>
      <w:tr w:rsidR="00C95CA5" w:rsidRPr="001E2B7E" w14:paraId="770E9627" w14:textId="77777777" w:rsidTr="00C924EC">
        <w:trPr>
          <w:trHeight w:val="330"/>
        </w:trPr>
        <w:tc>
          <w:tcPr>
            <w:tcW w:w="1402" w:type="dxa"/>
            <w:tcBorders>
              <w:top w:val="nil"/>
              <w:left w:val="single" w:sz="8" w:space="0" w:color="auto"/>
              <w:bottom w:val="single" w:sz="8" w:space="0" w:color="auto"/>
              <w:right w:val="single" w:sz="8" w:space="0" w:color="auto"/>
            </w:tcBorders>
            <w:vAlign w:val="center"/>
            <w:hideMark/>
          </w:tcPr>
          <w:p w14:paraId="35A65776" w14:textId="26F9BC6F" w:rsidR="00C95CA5" w:rsidRPr="001E2B7E" w:rsidRDefault="00C95CA5" w:rsidP="00C95CA5">
            <w:pPr>
              <w:spacing w:after="0" w:line="240" w:lineRule="auto"/>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A</w:t>
            </w:r>
            <w:r w:rsidR="00114E8D">
              <w:rPr>
                <w:rFonts w:ascii="Times New Roman" w:eastAsia="Times New Roman" w:hAnsi="Times New Roman" w:cs="Times New Roman"/>
                <w:color w:val="000000"/>
                <w:sz w:val="24"/>
                <w:szCs w:val="24"/>
              </w:rPr>
              <w:t>679134</w:t>
            </w:r>
          </w:p>
        </w:tc>
        <w:tc>
          <w:tcPr>
            <w:tcW w:w="1298" w:type="dxa"/>
            <w:tcBorders>
              <w:top w:val="nil"/>
              <w:left w:val="nil"/>
              <w:bottom w:val="single" w:sz="8" w:space="0" w:color="auto"/>
              <w:right w:val="single" w:sz="8" w:space="0" w:color="auto"/>
            </w:tcBorders>
            <w:hideMark/>
          </w:tcPr>
          <w:p w14:paraId="4976244E" w14:textId="0860E290" w:rsidR="00C95CA5" w:rsidRPr="001E2B7E" w:rsidRDefault="00C95CA5" w:rsidP="00C95CA5">
            <w:pPr>
              <w:spacing w:after="0" w:line="240" w:lineRule="auto"/>
              <w:jc w:val="both"/>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13.050.139</w:t>
            </w:r>
          </w:p>
        </w:tc>
        <w:tc>
          <w:tcPr>
            <w:tcW w:w="1296" w:type="dxa"/>
            <w:tcBorders>
              <w:top w:val="nil"/>
              <w:left w:val="nil"/>
              <w:bottom w:val="single" w:sz="8" w:space="0" w:color="auto"/>
              <w:right w:val="single" w:sz="8" w:space="0" w:color="auto"/>
            </w:tcBorders>
            <w:hideMark/>
          </w:tcPr>
          <w:p w14:paraId="545BA764" w14:textId="44B5A3D5" w:rsidR="00C95CA5" w:rsidRPr="001E2B7E" w:rsidRDefault="00C95CA5" w:rsidP="00C95CA5">
            <w:pPr>
              <w:spacing w:after="0" w:line="240" w:lineRule="auto"/>
              <w:jc w:val="both"/>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13.720.842</w:t>
            </w:r>
          </w:p>
        </w:tc>
        <w:tc>
          <w:tcPr>
            <w:tcW w:w="1296" w:type="dxa"/>
            <w:tcBorders>
              <w:top w:val="nil"/>
              <w:left w:val="nil"/>
              <w:bottom w:val="single" w:sz="8" w:space="0" w:color="auto"/>
              <w:right w:val="single" w:sz="8" w:space="0" w:color="auto"/>
            </w:tcBorders>
            <w:hideMark/>
          </w:tcPr>
          <w:p w14:paraId="5B31861C" w14:textId="530FE078" w:rsidR="00C95CA5" w:rsidRPr="001E2B7E" w:rsidRDefault="00C95CA5" w:rsidP="00C95CA5">
            <w:pPr>
              <w:spacing w:after="0" w:line="240" w:lineRule="auto"/>
              <w:jc w:val="right"/>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1</w:t>
            </w:r>
            <w:r w:rsidR="00E735C2">
              <w:rPr>
                <w:rFonts w:ascii="Times New Roman" w:hAnsi="Times New Roman" w:cs="Times New Roman"/>
                <w:sz w:val="24"/>
                <w:szCs w:val="24"/>
              </w:rPr>
              <w:t>5.368.950</w:t>
            </w:r>
          </w:p>
        </w:tc>
        <w:tc>
          <w:tcPr>
            <w:tcW w:w="1296" w:type="dxa"/>
            <w:tcBorders>
              <w:top w:val="nil"/>
              <w:left w:val="nil"/>
              <w:bottom w:val="single" w:sz="8" w:space="0" w:color="auto"/>
              <w:right w:val="single" w:sz="8" w:space="0" w:color="auto"/>
            </w:tcBorders>
            <w:hideMark/>
          </w:tcPr>
          <w:p w14:paraId="15F2D7C3" w14:textId="6D2D7EF6" w:rsidR="00C95CA5" w:rsidRPr="001E2B7E" w:rsidRDefault="00C95CA5" w:rsidP="00C95CA5">
            <w:pPr>
              <w:spacing w:after="0" w:line="240" w:lineRule="auto"/>
              <w:jc w:val="right"/>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1</w:t>
            </w:r>
            <w:r w:rsidR="00E735C2">
              <w:rPr>
                <w:rFonts w:ascii="Times New Roman" w:hAnsi="Times New Roman" w:cs="Times New Roman"/>
                <w:sz w:val="24"/>
                <w:szCs w:val="24"/>
              </w:rPr>
              <w:t>6.150.486</w:t>
            </w:r>
          </w:p>
        </w:tc>
        <w:tc>
          <w:tcPr>
            <w:tcW w:w="1296" w:type="dxa"/>
            <w:tcBorders>
              <w:top w:val="nil"/>
              <w:left w:val="nil"/>
              <w:bottom w:val="single" w:sz="8" w:space="0" w:color="auto"/>
              <w:right w:val="single" w:sz="8" w:space="0" w:color="auto"/>
            </w:tcBorders>
            <w:hideMark/>
          </w:tcPr>
          <w:p w14:paraId="204C036C" w14:textId="4EE0DE8D" w:rsidR="00C95CA5" w:rsidRPr="001E2B7E" w:rsidRDefault="00C95CA5" w:rsidP="00C95CA5">
            <w:pPr>
              <w:spacing w:after="0" w:line="240" w:lineRule="auto"/>
              <w:jc w:val="right"/>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1</w:t>
            </w:r>
            <w:r w:rsidR="00E735C2">
              <w:rPr>
                <w:rFonts w:ascii="Times New Roman" w:hAnsi="Times New Roman" w:cs="Times New Roman"/>
                <w:sz w:val="24"/>
                <w:szCs w:val="24"/>
              </w:rPr>
              <w:t>7.182.534</w:t>
            </w:r>
          </w:p>
        </w:tc>
        <w:tc>
          <w:tcPr>
            <w:tcW w:w="936" w:type="dxa"/>
            <w:tcBorders>
              <w:top w:val="nil"/>
              <w:left w:val="nil"/>
              <w:bottom w:val="single" w:sz="8" w:space="0" w:color="auto"/>
              <w:right w:val="single" w:sz="8" w:space="0" w:color="auto"/>
            </w:tcBorders>
            <w:vAlign w:val="center"/>
            <w:hideMark/>
          </w:tcPr>
          <w:p w14:paraId="1F2C06D3" w14:textId="2D6ADE67" w:rsidR="00C95CA5" w:rsidRPr="001E2B7E" w:rsidRDefault="00C95CA5" w:rsidP="00C95CA5">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1</w:t>
            </w:r>
            <w:r w:rsidR="00E735C2">
              <w:rPr>
                <w:rFonts w:ascii="Times New Roman" w:eastAsia="Times New Roman" w:hAnsi="Times New Roman" w:cs="Times New Roman"/>
                <w:color w:val="000000"/>
                <w:sz w:val="24"/>
                <w:szCs w:val="24"/>
              </w:rPr>
              <w:t>12,01</w:t>
            </w:r>
          </w:p>
        </w:tc>
      </w:tr>
    </w:tbl>
    <w:p w14:paraId="0844B3C0" w14:textId="77777777" w:rsidR="006E5F48" w:rsidRPr="001E2B7E" w:rsidRDefault="006E5F48" w:rsidP="00351FDD">
      <w:pPr>
        <w:spacing w:line="240" w:lineRule="auto"/>
        <w:jc w:val="both"/>
        <w:rPr>
          <w:rFonts w:ascii="Times New Roman" w:hAnsi="Times New Roman" w:cs="Times New Roman"/>
          <w:sz w:val="24"/>
          <w:szCs w:val="24"/>
        </w:rPr>
      </w:pPr>
    </w:p>
    <w:p w14:paraId="25A00E4D" w14:textId="77777777" w:rsidR="00C248FF" w:rsidRPr="001E2B7E" w:rsidRDefault="00C248FF" w:rsidP="00C248FF">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1.</w:t>
      </w:r>
      <w:r w:rsidRPr="001E2B7E">
        <w:rPr>
          <w:rFonts w:ascii="Times New Roman" w:hAnsi="Times New Roman" w:cs="Times New Roman"/>
          <w:sz w:val="24"/>
          <w:szCs w:val="24"/>
        </w:rPr>
        <w:tab/>
        <w:t xml:space="preserve">Osnovna komponenta </w:t>
      </w:r>
    </w:p>
    <w:p w14:paraId="085159F9" w14:textId="77777777" w:rsidR="00C248FF" w:rsidRPr="001E2B7E" w:rsidRDefault="00C248FF" w:rsidP="00C248FF">
      <w:pPr>
        <w:spacing w:line="240" w:lineRule="auto"/>
        <w:jc w:val="both"/>
        <w:rPr>
          <w:rFonts w:ascii="Times New Roman" w:hAnsi="Times New Roman" w:cs="Times New Roman"/>
          <w:sz w:val="24"/>
          <w:szCs w:val="24"/>
        </w:rPr>
      </w:pPr>
    </w:p>
    <w:p w14:paraId="33F54933" w14:textId="77777777" w:rsidR="00C248FF" w:rsidRPr="001E2B7E" w:rsidRDefault="00C248FF" w:rsidP="00C248FF">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w:t>
      </w:r>
      <w:r w:rsidRPr="001E2B7E">
        <w:rPr>
          <w:rFonts w:ascii="Times New Roman" w:hAnsi="Times New Roman" w:cs="Times New Roman"/>
          <w:sz w:val="24"/>
          <w:szCs w:val="24"/>
        </w:rPr>
        <w:tab/>
        <w:t>Plaće i materijalna prava zaposlenih:</w:t>
      </w:r>
    </w:p>
    <w:p w14:paraId="6405F5A7" w14:textId="52FF8BE8" w:rsidR="00C248FF" w:rsidRPr="001E2B7E" w:rsidRDefault="00C248FF" w:rsidP="00C248FF">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Na ovom mjestu planirani su troškovi za zaposlene kojima se plaću isplaćuje iz Proračuna RH</w:t>
      </w:r>
      <w:r w:rsidR="006C3B2F" w:rsidRPr="001E2B7E">
        <w:rPr>
          <w:rFonts w:ascii="Times New Roman" w:hAnsi="Times New Roman" w:cs="Times New Roman"/>
          <w:sz w:val="24"/>
          <w:szCs w:val="24"/>
        </w:rPr>
        <w:t>.</w:t>
      </w:r>
      <w:r w:rsidRPr="001E2B7E">
        <w:rPr>
          <w:rFonts w:ascii="Times New Roman" w:hAnsi="Times New Roman" w:cs="Times New Roman"/>
          <w:sz w:val="24"/>
          <w:szCs w:val="24"/>
        </w:rPr>
        <w:t xml:space="preserve"> Troškovi obuhvaćaju plaće za redovan rad, ostal</w:t>
      </w:r>
      <w:r w:rsidR="006C3B2F" w:rsidRPr="001E2B7E">
        <w:rPr>
          <w:rFonts w:ascii="Times New Roman" w:hAnsi="Times New Roman" w:cs="Times New Roman"/>
          <w:sz w:val="24"/>
          <w:szCs w:val="24"/>
        </w:rPr>
        <w:t>e</w:t>
      </w:r>
      <w:r w:rsidRPr="001E2B7E">
        <w:rPr>
          <w:rFonts w:ascii="Times New Roman" w:hAnsi="Times New Roman" w:cs="Times New Roman"/>
          <w:sz w:val="24"/>
          <w:szCs w:val="24"/>
        </w:rPr>
        <w:t xml:space="preserve"> rashodi za zaposlene, doprinos</w:t>
      </w:r>
      <w:r w:rsidR="006C3B2F" w:rsidRPr="001E2B7E">
        <w:rPr>
          <w:rFonts w:ascii="Times New Roman" w:hAnsi="Times New Roman" w:cs="Times New Roman"/>
          <w:sz w:val="24"/>
          <w:szCs w:val="24"/>
        </w:rPr>
        <w:t>e</w:t>
      </w:r>
      <w:r w:rsidRPr="001E2B7E">
        <w:rPr>
          <w:rFonts w:ascii="Times New Roman" w:hAnsi="Times New Roman" w:cs="Times New Roman"/>
          <w:sz w:val="24"/>
          <w:szCs w:val="24"/>
        </w:rPr>
        <w:t xml:space="preserve"> za obvezno zdravstveno osiguranje, naknade za prijevoz</w:t>
      </w:r>
      <w:r w:rsidR="006C3B2F" w:rsidRPr="001E2B7E">
        <w:rPr>
          <w:rFonts w:ascii="Times New Roman" w:hAnsi="Times New Roman" w:cs="Times New Roman"/>
          <w:sz w:val="24"/>
          <w:szCs w:val="24"/>
        </w:rPr>
        <w:t xml:space="preserve"> te</w:t>
      </w:r>
      <w:r w:rsidR="00E0473D" w:rsidRPr="001E2B7E">
        <w:rPr>
          <w:rFonts w:ascii="Times New Roman" w:hAnsi="Times New Roman" w:cs="Times New Roman"/>
          <w:sz w:val="24"/>
          <w:szCs w:val="24"/>
        </w:rPr>
        <w:t xml:space="preserve"> naknade za sistematske preglede</w:t>
      </w:r>
      <w:r w:rsidRPr="001E2B7E">
        <w:rPr>
          <w:rFonts w:ascii="Times New Roman" w:hAnsi="Times New Roman" w:cs="Times New Roman"/>
          <w:sz w:val="24"/>
          <w:szCs w:val="24"/>
        </w:rPr>
        <w:t xml:space="preserve">. Ukupan planirani iznos za 2026. iznosi </w:t>
      </w:r>
      <w:r w:rsidR="00E0473D" w:rsidRPr="001E2B7E">
        <w:rPr>
          <w:rFonts w:ascii="Times New Roman" w:hAnsi="Times New Roman" w:cs="Times New Roman"/>
          <w:sz w:val="24"/>
          <w:szCs w:val="24"/>
        </w:rPr>
        <w:t>1</w:t>
      </w:r>
      <w:r w:rsidR="00114E8D">
        <w:rPr>
          <w:rFonts w:ascii="Times New Roman" w:hAnsi="Times New Roman" w:cs="Times New Roman"/>
          <w:sz w:val="24"/>
          <w:szCs w:val="24"/>
        </w:rPr>
        <w:t>4.064.076</w:t>
      </w:r>
      <w:r w:rsidR="00E0473D" w:rsidRPr="001E2B7E">
        <w:rPr>
          <w:rFonts w:ascii="Times New Roman" w:hAnsi="Times New Roman" w:cs="Times New Roman"/>
          <w:sz w:val="24"/>
          <w:szCs w:val="24"/>
        </w:rPr>
        <w:t xml:space="preserve"> eura.</w:t>
      </w:r>
      <w:r w:rsidRPr="001E2B7E">
        <w:rPr>
          <w:rFonts w:ascii="Times New Roman" w:hAnsi="Times New Roman" w:cs="Times New Roman"/>
          <w:sz w:val="24"/>
          <w:szCs w:val="24"/>
        </w:rPr>
        <w:t xml:space="preserve"> U odnosu na ranije godine limit je planiran u većem iznosu radi promjena u financiranju iz Državnog proračuna. Utvrđuje se višegodišnje financiranje osnovne, razvojne i izvedbene proračunske komponente sredstvima državnog proračuna Republike Hrvatske, u skladu s postupkom propisanim Zakonom o visokom obrazovanju i znanstvenoj djelatnosti (“Narodne novine” br. 119/2022) i Uredbom o programskom financiranju javnih visokih učilišta i javnih znanstvenih instituta u Republici Hrvatskoj (“Narodne novine” br. 78/2023). </w:t>
      </w:r>
    </w:p>
    <w:p w14:paraId="53ADF67C" w14:textId="77777777" w:rsidR="00C248FF" w:rsidRPr="001E2B7E" w:rsidRDefault="00C248FF" w:rsidP="00C248FF">
      <w:pPr>
        <w:spacing w:line="240" w:lineRule="auto"/>
        <w:jc w:val="both"/>
        <w:rPr>
          <w:rFonts w:ascii="Times New Roman" w:hAnsi="Times New Roman" w:cs="Times New Roman"/>
          <w:sz w:val="24"/>
          <w:szCs w:val="24"/>
        </w:rPr>
      </w:pPr>
    </w:p>
    <w:p w14:paraId="53D5E5B0" w14:textId="77777777" w:rsidR="00C248FF" w:rsidRPr="001E2B7E" w:rsidRDefault="00C248FF" w:rsidP="00C248FF">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w:t>
      </w:r>
      <w:r w:rsidRPr="001E2B7E">
        <w:rPr>
          <w:rFonts w:ascii="Times New Roman" w:hAnsi="Times New Roman" w:cs="Times New Roman"/>
          <w:sz w:val="24"/>
          <w:szCs w:val="24"/>
        </w:rPr>
        <w:tab/>
        <w:t>Materijalni i drugi slični troškovi poslovanja</w:t>
      </w:r>
    </w:p>
    <w:p w14:paraId="4FD96754" w14:textId="78C72C35" w:rsidR="00C248FF" w:rsidRPr="001E2B7E" w:rsidRDefault="00C248FF" w:rsidP="00C248FF">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 xml:space="preserve">Ova grupa obuhvaća </w:t>
      </w:r>
      <w:r w:rsidR="00725207" w:rsidRPr="001E2B7E">
        <w:rPr>
          <w:rFonts w:ascii="Times New Roman" w:hAnsi="Times New Roman" w:cs="Times New Roman"/>
          <w:sz w:val="24"/>
          <w:szCs w:val="24"/>
        </w:rPr>
        <w:t xml:space="preserve">materijalne troškove poslovanja te sredstva za </w:t>
      </w:r>
      <w:r w:rsidRPr="001E2B7E">
        <w:rPr>
          <w:rFonts w:ascii="Times New Roman" w:hAnsi="Times New Roman" w:cs="Times New Roman"/>
          <w:sz w:val="24"/>
          <w:szCs w:val="24"/>
        </w:rPr>
        <w:t xml:space="preserve">tekuće i investicijsko održavanje, troškove obavljanje znanstvene i stručne djelatnosti, </w:t>
      </w:r>
      <w:r w:rsidR="00725207" w:rsidRPr="001E2B7E">
        <w:rPr>
          <w:rFonts w:ascii="Times New Roman" w:hAnsi="Times New Roman" w:cs="Times New Roman"/>
          <w:sz w:val="24"/>
          <w:szCs w:val="24"/>
        </w:rPr>
        <w:t xml:space="preserve">troškove znanstvenog i stručnog osposobljavanja i usavršavanja, troškovi za </w:t>
      </w:r>
      <w:r w:rsidRPr="001E2B7E">
        <w:rPr>
          <w:rFonts w:ascii="Times New Roman" w:hAnsi="Times New Roman" w:cs="Times New Roman"/>
          <w:sz w:val="24"/>
          <w:szCs w:val="24"/>
        </w:rPr>
        <w:t xml:space="preserve">studentski standard, </w:t>
      </w:r>
      <w:r w:rsidR="00725207" w:rsidRPr="001E2B7E">
        <w:rPr>
          <w:rFonts w:ascii="Times New Roman" w:hAnsi="Times New Roman" w:cs="Times New Roman"/>
          <w:sz w:val="24"/>
          <w:szCs w:val="24"/>
        </w:rPr>
        <w:t xml:space="preserve">troškovi za </w:t>
      </w:r>
      <w:r w:rsidRPr="001E2B7E">
        <w:rPr>
          <w:rFonts w:ascii="Times New Roman" w:hAnsi="Times New Roman" w:cs="Times New Roman"/>
          <w:sz w:val="24"/>
          <w:szCs w:val="24"/>
        </w:rPr>
        <w:t xml:space="preserve">izdavačku djelatnost i </w:t>
      </w:r>
      <w:r w:rsidR="00725207" w:rsidRPr="001E2B7E">
        <w:rPr>
          <w:rFonts w:ascii="Times New Roman" w:hAnsi="Times New Roman" w:cs="Times New Roman"/>
          <w:sz w:val="24"/>
          <w:szCs w:val="24"/>
        </w:rPr>
        <w:t>ostali osnovni troškovi</w:t>
      </w:r>
      <w:r w:rsidRPr="001E2B7E">
        <w:rPr>
          <w:rFonts w:ascii="Times New Roman" w:hAnsi="Times New Roman" w:cs="Times New Roman"/>
          <w:sz w:val="24"/>
          <w:szCs w:val="24"/>
        </w:rPr>
        <w:t xml:space="preserve">. Sredstva za 2026.g. planirana su u iznosu od </w:t>
      </w:r>
      <w:r w:rsidR="00725207" w:rsidRPr="001E2B7E">
        <w:rPr>
          <w:rFonts w:ascii="Times New Roman" w:hAnsi="Times New Roman" w:cs="Times New Roman"/>
          <w:sz w:val="24"/>
          <w:szCs w:val="24"/>
        </w:rPr>
        <w:t>927.116 eura</w:t>
      </w:r>
      <w:r w:rsidRPr="001E2B7E">
        <w:rPr>
          <w:rFonts w:ascii="Times New Roman" w:hAnsi="Times New Roman" w:cs="Times New Roman"/>
          <w:sz w:val="24"/>
          <w:szCs w:val="24"/>
        </w:rPr>
        <w:t xml:space="preserve">. </w:t>
      </w:r>
    </w:p>
    <w:p w14:paraId="625DEBE9" w14:textId="77777777" w:rsidR="00C248FF" w:rsidRPr="001E2B7E" w:rsidRDefault="00C248FF" w:rsidP="00C248FF">
      <w:pPr>
        <w:spacing w:line="240" w:lineRule="auto"/>
        <w:jc w:val="both"/>
        <w:rPr>
          <w:rFonts w:ascii="Times New Roman" w:hAnsi="Times New Roman" w:cs="Times New Roman"/>
          <w:sz w:val="24"/>
          <w:szCs w:val="24"/>
        </w:rPr>
      </w:pPr>
    </w:p>
    <w:p w14:paraId="48304726" w14:textId="54664D58" w:rsidR="00C248FF" w:rsidRPr="001E2B7E" w:rsidRDefault="00C248FF" w:rsidP="00C248FF">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2.</w:t>
      </w:r>
      <w:r w:rsidRPr="001E2B7E">
        <w:rPr>
          <w:rFonts w:ascii="Times New Roman" w:hAnsi="Times New Roman" w:cs="Times New Roman"/>
          <w:sz w:val="24"/>
          <w:szCs w:val="24"/>
        </w:rPr>
        <w:tab/>
        <w:t xml:space="preserve">Razvojna </w:t>
      </w:r>
      <w:r w:rsidR="006C3B2F" w:rsidRPr="001E2B7E">
        <w:rPr>
          <w:rFonts w:ascii="Times New Roman" w:hAnsi="Times New Roman" w:cs="Times New Roman"/>
          <w:sz w:val="24"/>
          <w:szCs w:val="24"/>
        </w:rPr>
        <w:t xml:space="preserve">i izvedbena </w:t>
      </w:r>
      <w:r w:rsidRPr="001E2B7E">
        <w:rPr>
          <w:rFonts w:ascii="Times New Roman" w:hAnsi="Times New Roman" w:cs="Times New Roman"/>
          <w:sz w:val="24"/>
          <w:szCs w:val="24"/>
        </w:rPr>
        <w:t>komponenta (dio iz izvora 11)</w:t>
      </w:r>
    </w:p>
    <w:p w14:paraId="7F266028" w14:textId="6B956D67" w:rsidR="00C248FF" w:rsidRPr="001E2B7E" w:rsidRDefault="00C248FF" w:rsidP="00C248FF">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 xml:space="preserve">U sklopu dijela razvojne </w:t>
      </w:r>
      <w:r w:rsidR="00895F5B">
        <w:rPr>
          <w:rFonts w:ascii="Times New Roman" w:hAnsi="Times New Roman" w:cs="Times New Roman"/>
          <w:sz w:val="24"/>
          <w:szCs w:val="24"/>
        </w:rPr>
        <w:t xml:space="preserve">i izvedbene </w:t>
      </w:r>
      <w:r w:rsidRPr="001E2B7E">
        <w:rPr>
          <w:rFonts w:ascii="Times New Roman" w:hAnsi="Times New Roman" w:cs="Times New Roman"/>
          <w:sz w:val="24"/>
          <w:szCs w:val="24"/>
        </w:rPr>
        <w:t>komponenta koje se financira iz izvora 11- Opći prihodi primici, planirani su troškovi edukacija u vezi prijave i realizacije kompetitivnih projekata,</w:t>
      </w:r>
      <w:r w:rsidR="002A269F">
        <w:rPr>
          <w:rFonts w:ascii="Times New Roman" w:hAnsi="Times New Roman" w:cs="Times New Roman"/>
          <w:sz w:val="24"/>
          <w:szCs w:val="24"/>
        </w:rPr>
        <w:t xml:space="preserve"> digitalni alati u svrhu unapređenja pedagoškog okvira nastavnika i studenata Veterinarskog fakulteta, </w:t>
      </w:r>
      <w:r w:rsidR="00793A85" w:rsidRPr="00793A85">
        <w:rPr>
          <w:rFonts w:ascii="Times New Roman" w:hAnsi="Times New Roman" w:cs="Times New Roman"/>
          <w:sz w:val="24"/>
          <w:szCs w:val="24"/>
        </w:rPr>
        <w:t xml:space="preserve">osuvremenjivanje metoda poučavanja, stjecanja i provjere znanja te jačanje nastavničkih kompetencija nastavnika, </w:t>
      </w:r>
      <w:r w:rsidRPr="001E2B7E">
        <w:rPr>
          <w:rFonts w:ascii="Times New Roman" w:hAnsi="Times New Roman" w:cs="Times New Roman"/>
          <w:sz w:val="24"/>
          <w:szCs w:val="24"/>
        </w:rPr>
        <w:t xml:space="preserve"> internacionalizacija znanstvenih aktivnosti kroz suradnju s gostujućim nastavnicima, modernizacije</w:t>
      </w:r>
      <w:r w:rsidR="002A269F">
        <w:rPr>
          <w:rFonts w:ascii="Times New Roman" w:hAnsi="Times New Roman" w:cs="Times New Roman"/>
          <w:sz w:val="24"/>
          <w:szCs w:val="24"/>
        </w:rPr>
        <w:t xml:space="preserve"> i unapređenja</w:t>
      </w:r>
      <w:r w:rsidRPr="001E2B7E">
        <w:rPr>
          <w:rFonts w:ascii="Times New Roman" w:hAnsi="Times New Roman" w:cs="Times New Roman"/>
          <w:sz w:val="24"/>
          <w:szCs w:val="24"/>
        </w:rPr>
        <w:t xml:space="preserve"> istraživačke infrastrukture u svrhu podizanja konkurentnosti istraživanja, </w:t>
      </w:r>
      <w:r w:rsidR="00793A85">
        <w:rPr>
          <w:rFonts w:ascii="Times New Roman" w:hAnsi="Times New Roman" w:cs="Times New Roman"/>
          <w:sz w:val="24"/>
          <w:szCs w:val="24"/>
        </w:rPr>
        <w:t xml:space="preserve">troškovi suvremene opreme za slikovnu dijagnstiku, fluoroskop, ultrazvučni softveri, mikroskopi, troškovi digitalizacije poslovnih i organizacijskih procesa, troškovi vezani uz aktivnosti energetske učinkovitosti,  </w:t>
      </w:r>
      <w:r w:rsidR="002A269F" w:rsidRPr="002A269F">
        <w:rPr>
          <w:rFonts w:ascii="Times New Roman" w:hAnsi="Times New Roman" w:cs="Times New Roman"/>
          <w:sz w:val="24"/>
          <w:szCs w:val="24"/>
        </w:rPr>
        <w:t>troškovi organiziranja</w:t>
      </w:r>
      <w:r w:rsidR="00793A85">
        <w:rPr>
          <w:rFonts w:ascii="Times New Roman" w:hAnsi="Times New Roman" w:cs="Times New Roman"/>
          <w:sz w:val="24"/>
          <w:szCs w:val="24"/>
        </w:rPr>
        <w:t xml:space="preserve"> i promoviranja događanja u svrhu popularizacije znanosti. </w:t>
      </w:r>
      <w:r w:rsidRPr="001E2B7E">
        <w:rPr>
          <w:rFonts w:ascii="Times New Roman" w:hAnsi="Times New Roman" w:cs="Times New Roman"/>
          <w:sz w:val="24"/>
          <w:szCs w:val="24"/>
        </w:rPr>
        <w:t xml:space="preserve">Ukupno je planirano troškova u visini </w:t>
      </w:r>
      <w:r w:rsidR="006C3B2F" w:rsidRPr="001E2B7E">
        <w:rPr>
          <w:rFonts w:ascii="Times New Roman" w:hAnsi="Times New Roman" w:cs="Times New Roman"/>
          <w:sz w:val="24"/>
          <w:szCs w:val="24"/>
        </w:rPr>
        <w:t>373.096 eura</w:t>
      </w:r>
      <w:r w:rsidR="00735EA7">
        <w:rPr>
          <w:rFonts w:ascii="Times New Roman" w:hAnsi="Times New Roman" w:cs="Times New Roman"/>
          <w:sz w:val="24"/>
          <w:szCs w:val="24"/>
        </w:rPr>
        <w:t xml:space="preserve"> za 2026. godinu</w:t>
      </w:r>
      <w:r w:rsidRPr="001E2B7E">
        <w:rPr>
          <w:rFonts w:ascii="Times New Roman" w:hAnsi="Times New Roman" w:cs="Times New Roman"/>
          <w:sz w:val="24"/>
          <w:szCs w:val="24"/>
        </w:rPr>
        <w:t>.</w:t>
      </w:r>
    </w:p>
    <w:p w14:paraId="2DA526C9" w14:textId="77777777" w:rsidR="00A128C5" w:rsidRPr="001E2B7E" w:rsidRDefault="00A128C5" w:rsidP="00C248FF">
      <w:pPr>
        <w:spacing w:line="240" w:lineRule="auto"/>
        <w:jc w:val="both"/>
        <w:rPr>
          <w:rFonts w:ascii="Times New Roman" w:hAnsi="Times New Roman" w:cs="Times New Roman"/>
          <w:sz w:val="24"/>
          <w:szCs w:val="24"/>
        </w:rPr>
      </w:pPr>
    </w:p>
    <w:p w14:paraId="59D13685" w14:textId="3425C1E0" w:rsidR="00A128C5" w:rsidRPr="001E2B7E" w:rsidRDefault="00A128C5" w:rsidP="00A128C5">
      <w:pPr>
        <w:spacing w:line="240" w:lineRule="auto"/>
        <w:jc w:val="both"/>
        <w:rPr>
          <w:rFonts w:ascii="Times New Roman" w:hAnsi="Times New Roman" w:cs="Times New Roman"/>
          <w:b/>
          <w:bCs/>
          <w:sz w:val="24"/>
          <w:szCs w:val="24"/>
        </w:rPr>
      </w:pPr>
      <w:r w:rsidRPr="001E2B7E">
        <w:rPr>
          <w:rFonts w:ascii="Times New Roman" w:hAnsi="Times New Roman" w:cs="Times New Roman"/>
          <w:b/>
          <w:bCs/>
          <w:sz w:val="24"/>
          <w:szCs w:val="24"/>
        </w:rPr>
        <w:t>NPOO znanstveni projekti  - izvor 581</w:t>
      </w:r>
    </w:p>
    <w:tbl>
      <w:tblPr>
        <w:tblStyle w:val="TableGrid11"/>
        <w:tblW w:w="9062" w:type="dxa"/>
        <w:tblLook w:val="04A0" w:firstRow="1" w:lastRow="0" w:firstColumn="1" w:lastColumn="0" w:noHBand="0" w:noVBand="1"/>
      </w:tblPr>
      <w:tblGrid>
        <w:gridCol w:w="1709"/>
        <w:gridCol w:w="1231"/>
        <w:gridCol w:w="1215"/>
        <w:gridCol w:w="1215"/>
        <w:gridCol w:w="1248"/>
        <w:gridCol w:w="1249"/>
        <w:gridCol w:w="1195"/>
      </w:tblGrid>
      <w:tr w:rsidR="0079187D" w:rsidRPr="001E2B7E" w14:paraId="69431C79" w14:textId="77777777" w:rsidTr="0079187D">
        <w:trPr>
          <w:trHeight w:val="450"/>
        </w:trPr>
        <w:tc>
          <w:tcPr>
            <w:tcW w:w="1709" w:type="dxa"/>
            <w:vMerge w:val="restart"/>
            <w:hideMark/>
          </w:tcPr>
          <w:p w14:paraId="77211F0A" w14:textId="77777777" w:rsidR="0079187D" w:rsidRPr="001E2B7E" w:rsidRDefault="0079187D" w:rsidP="00351FDD">
            <w:pPr>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231" w:type="dxa"/>
            <w:vMerge w:val="restart"/>
            <w:hideMark/>
          </w:tcPr>
          <w:p w14:paraId="4CB0BD84" w14:textId="391475E9" w:rsidR="0079187D" w:rsidRPr="001E2B7E" w:rsidRDefault="0079187D" w:rsidP="00351FDD">
            <w:pPr>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Izvršenje 202</w:t>
            </w:r>
            <w:r w:rsidR="00630EF1" w:rsidRPr="001E2B7E">
              <w:rPr>
                <w:rFonts w:ascii="Times New Roman" w:eastAsia="Times New Roman" w:hAnsi="Times New Roman" w:cs="Times New Roman"/>
                <w:color w:val="000000"/>
                <w:sz w:val="24"/>
                <w:szCs w:val="24"/>
              </w:rPr>
              <w:t>4</w:t>
            </w:r>
            <w:r w:rsidRPr="001E2B7E">
              <w:rPr>
                <w:rFonts w:ascii="Times New Roman" w:eastAsia="Times New Roman" w:hAnsi="Times New Roman" w:cs="Times New Roman"/>
                <w:color w:val="000000"/>
                <w:sz w:val="24"/>
                <w:szCs w:val="24"/>
              </w:rPr>
              <w:t>.</w:t>
            </w:r>
          </w:p>
        </w:tc>
        <w:tc>
          <w:tcPr>
            <w:tcW w:w="1215" w:type="dxa"/>
            <w:vMerge w:val="restart"/>
            <w:hideMark/>
          </w:tcPr>
          <w:p w14:paraId="33634699" w14:textId="45875FCF" w:rsidR="0079187D" w:rsidRPr="001E2B7E" w:rsidRDefault="0079187D" w:rsidP="00351FDD">
            <w:pPr>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Plan 202</w:t>
            </w:r>
            <w:r w:rsidR="00630EF1" w:rsidRPr="001E2B7E">
              <w:rPr>
                <w:rFonts w:ascii="Times New Roman" w:eastAsia="Times New Roman" w:hAnsi="Times New Roman" w:cs="Times New Roman"/>
                <w:color w:val="000000"/>
                <w:sz w:val="24"/>
                <w:szCs w:val="24"/>
              </w:rPr>
              <w:t>5</w:t>
            </w:r>
            <w:r w:rsidRPr="001E2B7E">
              <w:rPr>
                <w:rFonts w:ascii="Times New Roman" w:eastAsia="Times New Roman" w:hAnsi="Times New Roman" w:cs="Times New Roman"/>
                <w:color w:val="000000"/>
                <w:sz w:val="24"/>
                <w:szCs w:val="24"/>
              </w:rPr>
              <w:t>.</w:t>
            </w:r>
          </w:p>
        </w:tc>
        <w:tc>
          <w:tcPr>
            <w:tcW w:w="1215" w:type="dxa"/>
            <w:vMerge w:val="restart"/>
            <w:hideMark/>
          </w:tcPr>
          <w:p w14:paraId="029826AA" w14:textId="682E582A" w:rsidR="0079187D" w:rsidRPr="001E2B7E" w:rsidRDefault="0079187D" w:rsidP="00351FDD">
            <w:pPr>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Plan 202</w:t>
            </w:r>
            <w:r w:rsidR="00630EF1" w:rsidRPr="001E2B7E">
              <w:rPr>
                <w:rFonts w:ascii="Times New Roman" w:eastAsia="Times New Roman" w:hAnsi="Times New Roman" w:cs="Times New Roman"/>
                <w:color w:val="000000"/>
                <w:sz w:val="24"/>
                <w:szCs w:val="24"/>
              </w:rPr>
              <w:t>6</w:t>
            </w:r>
            <w:r w:rsidRPr="001E2B7E">
              <w:rPr>
                <w:rFonts w:ascii="Times New Roman" w:eastAsia="Times New Roman" w:hAnsi="Times New Roman" w:cs="Times New Roman"/>
                <w:color w:val="000000"/>
                <w:sz w:val="24"/>
                <w:szCs w:val="24"/>
              </w:rPr>
              <w:t>.</w:t>
            </w:r>
          </w:p>
        </w:tc>
        <w:tc>
          <w:tcPr>
            <w:tcW w:w="1248" w:type="dxa"/>
            <w:vMerge w:val="restart"/>
            <w:hideMark/>
          </w:tcPr>
          <w:p w14:paraId="220FFB63" w14:textId="7468138B" w:rsidR="0079187D" w:rsidRPr="001E2B7E" w:rsidRDefault="0079187D" w:rsidP="00351FDD">
            <w:pPr>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Projekcija 202</w:t>
            </w:r>
            <w:r w:rsidR="00630EF1" w:rsidRPr="001E2B7E">
              <w:rPr>
                <w:rFonts w:ascii="Times New Roman" w:eastAsia="Times New Roman" w:hAnsi="Times New Roman" w:cs="Times New Roman"/>
                <w:color w:val="000000"/>
                <w:sz w:val="24"/>
                <w:szCs w:val="24"/>
              </w:rPr>
              <w:t>7</w:t>
            </w:r>
            <w:r w:rsidRPr="001E2B7E">
              <w:rPr>
                <w:rFonts w:ascii="Times New Roman" w:eastAsia="Times New Roman" w:hAnsi="Times New Roman" w:cs="Times New Roman"/>
                <w:color w:val="000000"/>
                <w:sz w:val="24"/>
                <w:szCs w:val="24"/>
              </w:rPr>
              <w:t>.</w:t>
            </w:r>
          </w:p>
        </w:tc>
        <w:tc>
          <w:tcPr>
            <w:tcW w:w="1249" w:type="dxa"/>
            <w:vMerge w:val="restart"/>
            <w:hideMark/>
          </w:tcPr>
          <w:p w14:paraId="5A2BBE36" w14:textId="63B05EE5" w:rsidR="0079187D" w:rsidRPr="001E2B7E" w:rsidRDefault="0079187D" w:rsidP="00351FDD">
            <w:pPr>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Projekcija 202</w:t>
            </w:r>
            <w:r w:rsidR="00630EF1" w:rsidRPr="001E2B7E">
              <w:rPr>
                <w:rFonts w:ascii="Times New Roman" w:eastAsia="Times New Roman" w:hAnsi="Times New Roman" w:cs="Times New Roman"/>
                <w:color w:val="000000"/>
                <w:sz w:val="24"/>
                <w:szCs w:val="24"/>
              </w:rPr>
              <w:t>8</w:t>
            </w:r>
            <w:r w:rsidRPr="001E2B7E">
              <w:rPr>
                <w:rFonts w:ascii="Times New Roman" w:eastAsia="Times New Roman" w:hAnsi="Times New Roman" w:cs="Times New Roman"/>
                <w:color w:val="000000"/>
                <w:sz w:val="24"/>
                <w:szCs w:val="24"/>
              </w:rPr>
              <w:t>.</w:t>
            </w:r>
          </w:p>
        </w:tc>
        <w:tc>
          <w:tcPr>
            <w:tcW w:w="1195" w:type="dxa"/>
            <w:vMerge w:val="restart"/>
            <w:hideMark/>
          </w:tcPr>
          <w:p w14:paraId="5B2D05C4" w14:textId="6AFCC79F" w:rsidR="0079187D" w:rsidRPr="001E2B7E" w:rsidRDefault="0079187D" w:rsidP="00351FDD">
            <w:pPr>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Indeks 2</w:t>
            </w:r>
            <w:r w:rsidR="00856A57" w:rsidRPr="001E2B7E">
              <w:rPr>
                <w:rFonts w:ascii="Times New Roman" w:eastAsia="Times New Roman" w:hAnsi="Times New Roman" w:cs="Times New Roman"/>
                <w:color w:val="000000"/>
                <w:sz w:val="24"/>
                <w:szCs w:val="24"/>
              </w:rPr>
              <w:t>6/</w:t>
            </w:r>
            <w:r w:rsidRPr="001E2B7E">
              <w:rPr>
                <w:rFonts w:ascii="Times New Roman" w:eastAsia="Times New Roman" w:hAnsi="Times New Roman" w:cs="Times New Roman"/>
                <w:color w:val="000000"/>
                <w:sz w:val="24"/>
                <w:szCs w:val="24"/>
              </w:rPr>
              <w:t>/2</w:t>
            </w:r>
            <w:r w:rsidR="00856A57" w:rsidRPr="001E2B7E">
              <w:rPr>
                <w:rFonts w:ascii="Times New Roman" w:eastAsia="Times New Roman" w:hAnsi="Times New Roman" w:cs="Times New Roman"/>
                <w:color w:val="000000"/>
                <w:sz w:val="24"/>
                <w:szCs w:val="24"/>
              </w:rPr>
              <w:t>5</w:t>
            </w:r>
            <w:r w:rsidRPr="001E2B7E">
              <w:rPr>
                <w:rFonts w:ascii="Times New Roman" w:eastAsia="Times New Roman" w:hAnsi="Times New Roman" w:cs="Times New Roman"/>
                <w:color w:val="000000"/>
                <w:sz w:val="24"/>
                <w:szCs w:val="24"/>
              </w:rPr>
              <w:t>.</w:t>
            </w:r>
          </w:p>
        </w:tc>
      </w:tr>
      <w:tr w:rsidR="0079187D" w:rsidRPr="001E2B7E" w14:paraId="6DC52F9B" w14:textId="77777777" w:rsidTr="0079187D">
        <w:trPr>
          <w:trHeight w:val="450"/>
        </w:trPr>
        <w:tc>
          <w:tcPr>
            <w:tcW w:w="1709" w:type="dxa"/>
            <w:vMerge/>
            <w:hideMark/>
          </w:tcPr>
          <w:p w14:paraId="4EA839DA" w14:textId="77777777" w:rsidR="0079187D" w:rsidRPr="001E2B7E" w:rsidRDefault="0079187D" w:rsidP="00351FDD">
            <w:pPr>
              <w:rPr>
                <w:rFonts w:ascii="Times New Roman" w:eastAsia="Times New Roman" w:hAnsi="Times New Roman" w:cs="Times New Roman"/>
                <w:color w:val="000000"/>
                <w:sz w:val="24"/>
                <w:szCs w:val="24"/>
              </w:rPr>
            </w:pPr>
          </w:p>
        </w:tc>
        <w:tc>
          <w:tcPr>
            <w:tcW w:w="1231" w:type="dxa"/>
            <w:vMerge/>
            <w:hideMark/>
          </w:tcPr>
          <w:p w14:paraId="26C04F9E" w14:textId="77777777" w:rsidR="0079187D" w:rsidRPr="001E2B7E" w:rsidRDefault="0079187D" w:rsidP="00351FDD">
            <w:pPr>
              <w:rPr>
                <w:rFonts w:ascii="Times New Roman" w:eastAsia="Times New Roman" w:hAnsi="Times New Roman" w:cs="Times New Roman"/>
                <w:color w:val="000000"/>
                <w:sz w:val="24"/>
                <w:szCs w:val="24"/>
              </w:rPr>
            </w:pPr>
          </w:p>
        </w:tc>
        <w:tc>
          <w:tcPr>
            <w:tcW w:w="1215" w:type="dxa"/>
            <w:vMerge/>
            <w:hideMark/>
          </w:tcPr>
          <w:p w14:paraId="3ABB17B2" w14:textId="77777777" w:rsidR="0079187D" w:rsidRPr="001E2B7E" w:rsidRDefault="0079187D" w:rsidP="00351FDD">
            <w:pPr>
              <w:rPr>
                <w:rFonts w:ascii="Times New Roman" w:eastAsia="Times New Roman" w:hAnsi="Times New Roman" w:cs="Times New Roman"/>
                <w:color w:val="000000"/>
                <w:sz w:val="24"/>
                <w:szCs w:val="24"/>
              </w:rPr>
            </w:pPr>
          </w:p>
        </w:tc>
        <w:tc>
          <w:tcPr>
            <w:tcW w:w="1215" w:type="dxa"/>
            <w:vMerge/>
            <w:hideMark/>
          </w:tcPr>
          <w:p w14:paraId="3688E374" w14:textId="77777777" w:rsidR="0079187D" w:rsidRPr="001E2B7E" w:rsidRDefault="0079187D" w:rsidP="00351FDD">
            <w:pPr>
              <w:rPr>
                <w:rFonts w:ascii="Times New Roman" w:eastAsia="Times New Roman" w:hAnsi="Times New Roman" w:cs="Times New Roman"/>
                <w:color w:val="000000"/>
                <w:sz w:val="24"/>
                <w:szCs w:val="24"/>
              </w:rPr>
            </w:pPr>
          </w:p>
        </w:tc>
        <w:tc>
          <w:tcPr>
            <w:tcW w:w="1248" w:type="dxa"/>
            <w:vMerge/>
            <w:hideMark/>
          </w:tcPr>
          <w:p w14:paraId="3C8AA02C" w14:textId="77777777" w:rsidR="0079187D" w:rsidRPr="001E2B7E" w:rsidRDefault="0079187D" w:rsidP="00351FDD">
            <w:pPr>
              <w:rPr>
                <w:rFonts w:ascii="Times New Roman" w:eastAsia="Times New Roman" w:hAnsi="Times New Roman" w:cs="Times New Roman"/>
                <w:color w:val="000000"/>
                <w:sz w:val="24"/>
                <w:szCs w:val="24"/>
              </w:rPr>
            </w:pPr>
          </w:p>
        </w:tc>
        <w:tc>
          <w:tcPr>
            <w:tcW w:w="1249" w:type="dxa"/>
            <w:vMerge/>
            <w:hideMark/>
          </w:tcPr>
          <w:p w14:paraId="2D2F9951" w14:textId="77777777" w:rsidR="0079187D" w:rsidRPr="001E2B7E" w:rsidRDefault="0079187D" w:rsidP="00351FDD">
            <w:pPr>
              <w:rPr>
                <w:rFonts w:ascii="Times New Roman" w:eastAsia="Times New Roman" w:hAnsi="Times New Roman" w:cs="Times New Roman"/>
                <w:color w:val="000000"/>
                <w:sz w:val="24"/>
                <w:szCs w:val="24"/>
              </w:rPr>
            </w:pPr>
          </w:p>
        </w:tc>
        <w:tc>
          <w:tcPr>
            <w:tcW w:w="1195" w:type="dxa"/>
            <w:vMerge/>
            <w:hideMark/>
          </w:tcPr>
          <w:p w14:paraId="16199065" w14:textId="77777777" w:rsidR="0079187D" w:rsidRPr="001E2B7E" w:rsidRDefault="0079187D" w:rsidP="00351FDD">
            <w:pPr>
              <w:rPr>
                <w:rFonts w:ascii="Times New Roman" w:eastAsia="Times New Roman" w:hAnsi="Times New Roman" w:cs="Times New Roman"/>
                <w:color w:val="000000"/>
                <w:sz w:val="24"/>
                <w:szCs w:val="24"/>
              </w:rPr>
            </w:pPr>
          </w:p>
        </w:tc>
      </w:tr>
      <w:tr w:rsidR="0079187D" w:rsidRPr="001E2B7E" w14:paraId="46E827FE" w14:textId="77777777" w:rsidTr="00856A57">
        <w:trPr>
          <w:trHeight w:val="330"/>
        </w:trPr>
        <w:tc>
          <w:tcPr>
            <w:tcW w:w="1709" w:type="dxa"/>
            <w:hideMark/>
          </w:tcPr>
          <w:p w14:paraId="40C04100" w14:textId="29E124CD" w:rsidR="0079187D" w:rsidRPr="001E2B7E" w:rsidRDefault="00114E8D" w:rsidP="00351FD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A679136</w:t>
            </w:r>
          </w:p>
        </w:tc>
        <w:tc>
          <w:tcPr>
            <w:tcW w:w="1231" w:type="dxa"/>
            <w:hideMark/>
          </w:tcPr>
          <w:p w14:paraId="2A8A61DC" w14:textId="5ADB2D02" w:rsidR="0079187D" w:rsidRPr="001E2B7E" w:rsidRDefault="00856A57" w:rsidP="00351FDD">
            <w:pPr>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w:t>
            </w:r>
          </w:p>
        </w:tc>
        <w:tc>
          <w:tcPr>
            <w:tcW w:w="1215" w:type="dxa"/>
            <w:hideMark/>
          </w:tcPr>
          <w:p w14:paraId="19D90BFE" w14:textId="36A6E0E1" w:rsidR="0079187D" w:rsidRPr="001E2B7E" w:rsidRDefault="00856A57" w:rsidP="00351FDD">
            <w:pPr>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w:t>
            </w:r>
          </w:p>
        </w:tc>
        <w:tc>
          <w:tcPr>
            <w:tcW w:w="1215" w:type="dxa"/>
          </w:tcPr>
          <w:p w14:paraId="36ADC54C" w14:textId="68A768A4" w:rsidR="0079187D" w:rsidRPr="001E2B7E" w:rsidRDefault="00114E8D" w:rsidP="00351FD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453.960</w:t>
            </w:r>
          </w:p>
        </w:tc>
        <w:tc>
          <w:tcPr>
            <w:tcW w:w="1248" w:type="dxa"/>
          </w:tcPr>
          <w:p w14:paraId="4376CD06" w14:textId="52F7950D" w:rsidR="0079187D" w:rsidRPr="001E2B7E" w:rsidRDefault="003F06B3" w:rsidP="00351FDD">
            <w:pPr>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4</w:t>
            </w:r>
            <w:r w:rsidR="00114E8D">
              <w:rPr>
                <w:rFonts w:ascii="Times New Roman" w:eastAsia="Times New Roman" w:hAnsi="Times New Roman" w:cs="Times New Roman"/>
                <w:color w:val="000000"/>
                <w:sz w:val="24"/>
                <w:szCs w:val="24"/>
              </w:rPr>
              <w:t>53.960</w:t>
            </w:r>
          </w:p>
        </w:tc>
        <w:tc>
          <w:tcPr>
            <w:tcW w:w="1249" w:type="dxa"/>
          </w:tcPr>
          <w:p w14:paraId="3FA445E8" w14:textId="0E515FE6" w:rsidR="0079187D" w:rsidRPr="001E2B7E" w:rsidRDefault="00114E8D" w:rsidP="00351FD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453.960</w:t>
            </w:r>
          </w:p>
        </w:tc>
        <w:tc>
          <w:tcPr>
            <w:tcW w:w="1195" w:type="dxa"/>
            <w:hideMark/>
          </w:tcPr>
          <w:p w14:paraId="1C1AB03F" w14:textId="7E831106" w:rsidR="0079187D" w:rsidRPr="001E2B7E" w:rsidRDefault="00856A57" w:rsidP="00351FDD">
            <w:pPr>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w:t>
            </w:r>
          </w:p>
        </w:tc>
      </w:tr>
    </w:tbl>
    <w:p w14:paraId="75C634F3" w14:textId="77777777" w:rsidR="00A128C5" w:rsidRPr="001E2B7E" w:rsidRDefault="00A128C5" w:rsidP="00630EF1">
      <w:pPr>
        <w:spacing w:line="240" w:lineRule="auto"/>
        <w:jc w:val="both"/>
        <w:rPr>
          <w:rFonts w:ascii="Times New Roman" w:hAnsi="Times New Roman" w:cs="Times New Roman"/>
          <w:sz w:val="24"/>
          <w:szCs w:val="24"/>
        </w:rPr>
      </w:pPr>
    </w:p>
    <w:p w14:paraId="3D8C87CE" w14:textId="7745A88A" w:rsidR="00630EF1" w:rsidRPr="001E2B7E" w:rsidRDefault="00630EF1" w:rsidP="00630EF1">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 xml:space="preserve">U sklopu izvora 581 Mehanizam za oporavak i otpornost planirani su rashodi </w:t>
      </w:r>
      <w:r w:rsidRPr="00645D8E">
        <w:rPr>
          <w:rFonts w:ascii="Times New Roman" w:hAnsi="Times New Roman" w:cs="Times New Roman"/>
          <w:sz w:val="24"/>
          <w:szCs w:val="24"/>
        </w:rPr>
        <w:t xml:space="preserve">za </w:t>
      </w:r>
      <w:r w:rsidR="00645D8E" w:rsidRPr="00645D8E">
        <w:rPr>
          <w:rFonts w:ascii="Times New Roman" w:hAnsi="Times New Roman" w:cs="Times New Roman"/>
          <w:sz w:val="24"/>
          <w:szCs w:val="24"/>
        </w:rPr>
        <w:t>24</w:t>
      </w:r>
      <w:r w:rsidRPr="00645D8E">
        <w:rPr>
          <w:rFonts w:ascii="Times New Roman" w:hAnsi="Times New Roman" w:cs="Times New Roman"/>
          <w:sz w:val="24"/>
          <w:szCs w:val="24"/>
        </w:rPr>
        <w:t xml:space="preserve"> </w:t>
      </w:r>
      <w:r w:rsidRPr="001E2B7E">
        <w:rPr>
          <w:rFonts w:ascii="Times New Roman" w:hAnsi="Times New Roman" w:cs="Times New Roman"/>
          <w:sz w:val="24"/>
          <w:szCs w:val="24"/>
        </w:rPr>
        <w:t>ugovorenih znanstvenih projekata iz programskog ugovora za izvedbenu komponentu, financiranih iz NPOO-a.</w:t>
      </w:r>
    </w:p>
    <w:p w14:paraId="3EE66CD7" w14:textId="77777777" w:rsidR="00630EF1" w:rsidRPr="001E2B7E" w:rsidRDefault="00630EF1" w:rsidP="00351FDD">
      <w:pPr>
        <w:spacing w:line="240" w:lineRule="auto"/>
        <w:jc w:val="both"/>
        <w:rPr>
          <w:rFonts w:ascii="Times New Roman" w:hAnsi="Times New Roman" w:cs="Times New Roman"/>
          <w:sz w:val="24"/>
          <w:szCs w:val="24"/>
        </w:rPr>
      </w:pPr>
    </w:p>
    <w:p w14:paraId="0B5708C3" w14:textId="77777777" w:rsidR="00846CD9" w:rsidRPr="001E2B7E" w:rsidRDefault="00846CD9" w:rsidP="00351FDD">
      <w:pPr>
        <w:spacing w:after="0" w:line="240" w:lineRule="auto"/>
        <w:jc w:val="both"/>
        <w:rPr>
          <w:rFonts w:ascii="Times New Roman" w:hAnsi="Times New Roman" w:cs="Times New Roman"/>
          <w:sz w:val="24"/>
          <w:szCs w:val="24"/>
        </w:rPr>
      </w:pPr>
    </w:p>
    <w:p w14:paraId="465ED94B" w14:textId="682798DF" w:rsidR="00121947" w:rsidRPr="001E2B7E" w:rsidRDefault="00856A57" w:rsidP="00856A57">
      <w:pPr>
        <w:pBdr>
          <w:top w:val="dotted" w:sz="4" w:space="1" w:color="808080" w:themeColor="background1" w:themeShade="80"/>
          <w:bottom w:val="dotted" w:sz="4" w:space="1" w:color="808080" w:themeColor="background1" w:themeShade="80"/>
        </w:pBdr>
        <w:shd w:val="clear" w:color="auto" w:fill="D0CECE" w:themeFill="background2" w:themeFillShade="E6"/>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A</w:t>
      </w:r>
      <w:r w:rsidR="00041714">
        <w:rPr>
          <w:rFonts w:ascii="Times New Roman" w:hAnsi="Times New Roman" w:cs="Times New Roman"/>
          <w:sz w:val="24"/>
          <w:szCs w:val="24"/>
        </w:rPr>
        <w:t>679135</w:t>
      </w:r>
      <w:r w:rsidR="00846CD9" w:rsidRPr="001E2B7E">
        <w:rPr>
          <w:rFonts w:ascii="Times New Roman" w:hAnsi="Times New Roman" w:cs="Times New Roman"/>
          <w:sz w:val="24"/>
          <w:szCs w:val="24"/>
        </w:rPr>
        <w:t xml:space="preserve"> </w:t>
      </w:r>
      <w:r w:rsidRPr="001E2B7E">
        <w:rPr>
          <w:rFonts w:ascii="Times New Roman" w:hAnsi="Times New Roman" w:cs="Times New Roman"/>
          <w:sz w:val="24"/>
          <w:szCs w:val="24"/>
        </w:rPr>
        <w:t>Programsko i ostalo financiranje Sveučilišta u Zagrebu iz evidencijskih prihoda</w:t>
      </w:r>
    </w:p>
    <w:p w14:paraId="504BB39C" w14:textId="34629E47" w:rsidR="00CA622B" w:rsidRPr="001E2B7E" w:rsidRDefault="00CA622B" w:rsidP="00351FDD">
      <w:pPr>
        <w:spacing w:after="0" w:line="240" w:lineRule="auto"/>
        <w:jc w:val="both"/>
        <w:rPr>
          <w:rFonts w:ascii="Times New Roman" w:hAnsi="Times New Roman" w:cs="Times New Roman"/>
          <w:sz w:val="24"/>
          <w:szCs w:val="24"/>
        </w:rPr>
      </w:pPr>
      <w:r w:rsidRPr="001E2B7E">
        <w:rPr>
          <w:rFonts w:ascii="Times New Roman" w:hAnsi="Times New Roman" w:cs="Times New Roman"/>
          <w:sz w:val="24"/>
          <w:szCs w:val="24"/>
        </w:rPr>
        <w:t>Zakonske i druge pravne osnove</w:t>
      </w:r>
    </w:p>
    <w:p w14:paraId="5D34D5F3" w14:textId="017AC97C" w:rsidR="00856A57" w:rsidRPr="001E2B7E" w:rsidRDefault="00856A57" w:rsidP="00351FDD">
      <w:pPr>
        <w:spacing w:after="0" w:line="240" w:lineRule="auto"/>
        <w:jc w:val="both"/>
        <w:rPr>
          <w:rFonts w:ascii="Times New Roman" w:hAnsi="Times New Roman" w:cs="Times New Roman"/>
          <w:sz w:val="24"/>
          <w:szCs w:val="24"/>
        </w:rPr>
      </w:pPr>
      <w:r w:rsidRPr="001E2B7E">
        <w:rPr>
          <w:rFonts w:ascii="Times New Roman" w:hAnsi="Times New Roman" w:cs="Times New Roman"/>
          <w:sz w:val="24"/>
          <w:szCs w:val="24"/>
        </w:rPr>
        <w:t>Zakon o znanstvenoj djelatnosti i visokom obrazovanju, Zakon o javnoj nabavi, Zakon o radu, Zakon o porezu na dodanu vrijednost, Zakon o osiguranju kvalitete u znanosti i visokom obrazovanju Kolektivni ugovor za znanost i visoko obrazovanje, Pravilnik o planiranju u sustavu proračuna, Pravilnik o proračunskom računovodstvu i Računskom planu, Pravilnik o proračunskim klasifikacijama, Pravilnik o korištenju sredstava Europske unije, Pravilnik o mjerilima i načinu korištenja vlastitih i namjenskih prihoda, Upute za izradu financijskog plana razdjela 080 – Ministarstvo znanosti, obrazovanja i mladih  za razdoblje 2026. – 2028., Upute za izradu prijedloga financijskog plana Sveučilišta u Zagrebu za razdoblje 2026. – 2028.</w:t>
      </w:r>
      <w:r w:rsidR="00C23D2F" w:rsidRPr="001E2B7E">
        <w:rPr>
          <w:rFonts w:ascii="Times New Roman" w:hAnsi="Times New Roman" w:cs="Times New Roman"/>
          <w:sz w:val="24"/>
          <w:szCs w:val="24"/>
        </w:rPr>
        <w:t xml:space="preserve">, Zakon o veterinarstvu, </w:t>
      </w:r>
      <w:r w:rsidR="002A550E" w:rsidRPr="001E2B7E">
        <w:rPr>
          <w:rFonts w:ascii="Times New Roman" w:hAnsi="Times New Roman" w:cs="Times New Roman"/>
          <w:sz w:val="24"/>
          <w:szCs w:val="24"/>
        </w:rPr>
        <w:t xml:space="preserve">Pravilnik o ostvarivanju i korištenju namjenskih donacija i vlastitih prihoda, Pravilnik o ostvarenju i korištenju namjenskih prihoda </w:t>
      </w:r>
      <w:r w:rsidRPr="001E2B7E">
        <w:rPr>
          <w:rFonts w:ascii="Times New Roman" w:hAnsi="Times New Roman" w:cs="Times New Roman"/>
          <w:sz w:val="24"/>
          <w:szCs w:val="24"/>
        </w:rPr>
        <w:t>kao i ostali važeći pravilnici Veterinarskog fakulteta.</w:t>
      </w:r>
    </w:p>
    <w:p w14:paraId="483E5187" w14:textId="69F19A67" w:rsidR="003B2CF0" w:rsidRPr="001E2B7E" w:rsidRDefault="003B2CF0" w:rsidP="001368A9">
      <w:pPr>
        <w:spacing w:after="0" w:line="240" w:lineRule="auto"/>
        <w:jc w:val="both"/>
        <w:rPr>
          <w:rFonts w:ascii="Times New Roman" w:hAnsi="Times New Roman" w:cs="Times New Roman"/>
          <w:sz w:val="24"/>
          <w:szCs w:val="24"/>
        </w:rPr>
      </w:pPr>
    </w:p>
    <w:p w14:paraId="19CA86AE" w14:textId="37729956" w:rsidR="00927915" w:rsidRPr="001E2B7E" w:rsidRDefault="00214CD7" w:rsidP="00351FDD">
      <w:pPr>
        <w:spacing w:after="0" w:line="240" w:lineRule="auto"/>
        <w:jc w:val="both"/>
        <w:rPr>
          <w:rFonts w:ascii="Times New Roman" w:hAnsi="Times New Roman" w:cs="Times New Roman"/>
          <w:sz w:val="24"/>
          <w:szCs w:val="24"/>
        </w:rPr>
      </w:pPr>
      <w:r w:rsidRPr="001E2B7E">
        <w:rPr>
          <w:rFonts w:ascii="Times New Roman" w:hAnsi="Times New Roman" w:cs="Times New Roman"/>
          <w:sz w:val="24"/>
          <w:szCs w:val="24"/>
        </w:rPr>
        <w:t>Ova aktivnost provodi se</w:t>
      </w:r>
      <w:r w:rsidR="001368A9" w:rsidRPr="001E2B7E">
        <w:rPr>
          <w:rFonts w:ascii="Times New Roman" w:hAnsi="Times New Roman" w:cs="Times New Roman"/>
          <w:sz w:val="24"/>
          <w:szCs w:val="24"/>
        </w:rPr>
        <w:t xml:space="preserve"> </w:t>
      </w:r>
      <w:r w:rsidRPr="001E2B7E">
        <w:rPr>
          <w:rFonts w:ascii="Times New Roman" w:hAnsi="Times New Roman" w:cs="Times New Roman"/>
          <w:sz w:val="24"/>
          <w:szCs w:val="24"/>
        </w:rPr>
        <w:t>iz izvora financiranja: 31, 43, 5</w:t>
      </w:r>
      <w:r w:rsidR="00857492">
        <w:rPr>
          <w:rFonts w:ascii="Times New Roman" w:hAnsi="Times New Roman" w:cs="Times New Roman"/>
          <w:sz w:val="24"/>
          <w:szCs w:val="24"/>
        </w:rPr>
        <w:t>0</w:t>
      </w:r>
      <w:r w:rsidRPr="001E2B7E">
        <w:rPr>
          <w:rFonts w:ascii="Times New Roman" w:hAnsi="Times New Roman" w:cs="Times New Roman"/>
          <w:sz w:val="24"/>
          <w:szCs w:val="24"/>
        </w:rPr>
        <w:t xml:space="preserve">, </w:t>
      </w:r>
      <w:r w:rsidR="00857492">
        <w:rPr>
          <w:rFonts w:ascii="Times New Roman" w:hAnsi="Times New Roman" w:cs="Times New Roman"/>
          <w:sz w:val="24"/>
          <w:szCs w:val="24"/>
        </w:rPr>
        <w:t xml:space="preserve">51, </w:t>
      </w:r>
      <w:r w:rsidRPr="001E2B7E">
        <w:rPr>
          <w:rFonts w:ascii="Times New Roman" w:hAnsi="Times New Roman" w:cs="Times New Roman"/>
          <w:sz w:val="24"/>
          <w:szCs w:val="24"/>
        </w:rPr>
        <w:t>61 i 71. Izvršenje rashoda s navedenih aktivnosti provodi se s računa Veterinarskog fakulteta, a evidencija u sustavu državne riznice o ostvarenju i trošenju vlastitih i namjenskih prihoda i primitaka provodi se na temelju mjesečnih izvještaja korisnika (evidencijski prihodi).</w:t>
      </w:r>
    </w:p>
    <w:p w14:paraId="5FD580A5" w14:textId="77777777" w:rsidR="00214CD7" w:rsidRPr="001E2B7E" w:rsidRDefault="00214CD7" w:rsidP="00351FDD">
      <w:pPr>
        <w:spacing w:after="0" w:line="240" w:lineRule="auto"/>
        <w:jc w:val="both"/>
        <w:rPr>
          <w:rFonts w:ascii="Times New Roman" w:hAnsi="Times New Roman" w:cs="Times New Roman"/>
          <w:sz w:val="24"/>
          <w:szCs w:val="24"/>
        </w:rPr>
      </w:pPr>
    </w:p>
    <w:p w14:paraId="099D8480" w14:textId="77777777" w:rsidR="003F577B" w:rsidRPr="001E2B7E" w:rsidRDefault="00927915" w:rsidP="00351FDD">
      <w:pPr>
        <w:spacing w:line="240" w:lineRule="auto"/>
        <w:ind w:left="720"/>
        <w:jc w:val="both"/>
        <w:rPr>
          <w:rFonts w:ascii="Times New Roman" w:hAnsi="Times New Roman" w:cs="Times New Roman"/>
          <w:sz w:val="24"/>
          <w:szCs w:val="24"/>
        </w:rPr>
      </w:pPr>
      <w:r w:rsidRPr="001E2B7E">
        <w:rPr>
          <w:rFonts w:ascii="Times New Roman" w:hAnsi="Times New Roman" w:cs="Times New Roman"/>
          <w:sz w:val="24"/>
          <w:szCs w:val="24"/>
        </w:rPr>
        <w:t>1.1</w:t>
      </w:r>
      <w:r w:rsidR="003F577B" w:rsidRPr="001E2B7E">
        <w:rPr>
          <w:rFonts w:ascii="Times New Roman" w:hAnsi="Times New Roman" w:cs="Times New Roman"/>
          <w:sz w:val="24"/>
          <w:szCs w:val="24"/>
        </w:rPr>
        <w:t>. Obrazloženje programa- Vlastiti prihodi:– prihodi od prodaje proizvoda i robe te pruženih usluga</w:t>
      </w:r>
      <w:r w:rsidRPr="001E2B7E">
        <w:rPr>
          <w:rFonts w:ascii="Times New Roman" w:hAnsi="Times New Roman" w:cs="Times New Roman"/>
          <w:sz w:val="24"/>
          <w:szCs w:val="24"/>
        </w:rPr>
        <w:t xml:space="preserve"> – izvor 31</w:t>
      </w:r>
    </w:p>
    <w:tbl>
      <w:tblPr>
        <w:tblW w:w="8820" w:type="dxa"/>
        <w:tblLook w:val="04A0" w:firstRow="1" w:lastRow="0" w:firstColumn="1" w:lastColumn="0" w:noHBand="0" w:noVBand="1"/>
      </w:tblPr>
      <w:tblGrid>
        <w:gridCol w:w="1881"/>
        <w:gridCol w:w="1245"/>
        <w:gridCol w:w="1176"/>
        <w:gridCol w:w="1176"/>
        <w:gridCol w:w="1205"/>
        <w:gridCol w:w="1190"/>
        <w:gridCol w:w="947"/>
      </w:tblGrid>
      <w:tr w:rsidR="0034158A" w:rsidRPr="001E2B7E" w14:paraId="4A470E74" w14:textId="77777777" w:rsidTr="0034158A">
        <w:trPr>
          <w:trHeight w:val="450"/>
        </w:trPr>
        <w:tc>
          <w:tcPr>
            <w:tcW w:w="1881"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7AF0DA51" w14:textId="77777777" w:rsidR="0034158A" w:rsidRPr="001E2B7E" w:rsidRDefault="0034158A"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245"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4F461FF" w14:textId="6C41EC24" w:rsidR="0034158A" w:rsidRPr="001E2B7E" w:rsidRDefault="0034158A"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Izvršenje 202</w:t>
            </w:r>
            <w:r w:rsidR="001368A9" w:rsidRPr="001E2B7E">
              <w:rPr>
                <w:rFonts w:ascii="Times New Roman" w:eastAsia="Times New Roman" w:hAnsi="Times New Roman" w:cs="Times New Roman"/>
                <w:color w:val="000000"/>
                <w:sz w:val="24"/>
                <w:szCs w:val="24"/>
              </w:rPr>
              <w:t>4</w:t>
            </w:r>
            <w:r w:rsidRPr="001E2B7E">
              <w:rPr>
                <w:rFonts w:ascii="Times New Roman" w:eastAsia="Times New Roman" w:hAnsi="Times New Roman" w:cs="Times New Roman"/>
                <w:color w:val="000000"/>
                <w:sz w:val="24"/>
                <w:szCs w:val="24"/>
              </w:rPr>
              <w:t>.</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2E601DD3" w14:textId="69ABC585" w:rsidR="0034158A" w:rsidRPr="001E2B7E" w:rsidRDefault="0034158A"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Plan 202</w:t>
            </w:r>
            <w:r w:rsidR="001368A9" w:rsidRPr="001E2B7E">
              <w:rPr>
                <w:rFonts w:ascii="Times New Roman" w:eastAsia="Times New Roman" w:hAnsi="Times New Roman" w:cs="Times New Roman"/>
                <w:color w:val="000000"/>
                <w:sz w:val="24"/>
                <w:szCs w:val="24"/>
              </w:rPr>
              <w:t>5</w:t>
            </w:r>
            <w:r w:rsidRPr="001E2B7E">
              <w:rPr>
                <w:rFonts w:ascii="Times New Roman" w:eastAsia="Times New Roman" w:hAnsi="Times New Roman" w:cs="Times New Roman"/>
                <w:color w:val="000000"/>
                <w:sz w:val="24"/>
                <w:szCs w:val="24"/>
              </w:rPr>
              <w:t>.</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3864E53F" w14:textId="1B69921F" w:rsidR="0034158A" w:rsidRPr="001E2B7E" w:rsidRDefault="0034158A"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Plan 202</w:t>
            </w:r>
            <w:r w:rsidR="001368A9" w:rsidRPr="001E2B7E">
              <w:rPr>
                <w:rFonts w:ascii="Times New Roman" w:eastAsia="Times New Roman" w:hAnsi="Times New Roman" w:cs="Times New Roman"/>
                <w:color w:val="000000"/>
                <w:sz w:val="24"/>
                <w:szCs w:val="24"/>
              </w:rPr>
              <w:t>6</w:t>
            </w:r>
            <w:r w:rsidRPr="001E2B7E">
              <w:rPr>
                <w:rFonts w:ascii="Times New Roman" w:eastAsia="Times New Roman" w:hAnsi="Times New Roman" w:cs="Times New Roman"/>
                <w:color w:val="000000"/>
                <w:sz w:val="24"/>
                <w:szCs w:val="24"/>
              </w:rPr>
              <w:t>.</w:t>
            </w:r>
          </w:p>
        </w:tc>
        <w:tc>
          <w:tcPr>
            <w:tcW w:w="1205"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11BB6134" w14:textId="6B69D958" w:rsidR="0034158A" w:rsidRPr="001E2B7E" w:rsidRDefault="0034158A"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Projekcija 202</w:t>
            </w:r>
            <w:r w:rsidR="001368A9" w:rsidRPr="001E2B7E">
              <w:rPr>
                <w:rFonts w:ascii="Times New Roman" w:eastAsia="Times New Roman" w:hAnsi="Times New Roman" w:cs="Times New Roman"/>
                <w:color w:val="000000"/>
                <w:sz w:val="24"/>
                <w:szCs w:val="24"/>
              </w:rPr>
              <w:t>7</w:t>
            </w:r>
            <w:r w:rsidRPr="001E2B7E">
              <w:rPr>
                <w:rFonts w:ascii="Times New Roman" w:eastAsia="Times New Roman" w:hAnsi="Times New Roman" w:cs="Times New Roman"/>
                <w:color w:val="000000"/>
                <w:sz w:val="24"/>
                <w:szCs w:val="24"/>
              </w:rPr>
              <w:t>.</w:t>
            </w:r>
          </w:p>
        </w:tc>
        <w:tc>
          <w:tcPr>
            <w:tcW w:w="119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5C8CCE06" w14:textId="34CE6B5C" w:rsidR="0034158A" w:rsidRPr="001E2B7E" w:rsidRDefault="0034158A"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Projekcija 202</w:t>
            </w:r>
            <w:r w:rsidR="001368A9" w:rsidRPr="001E2B7E">
              <w:rPr>
                <w:rFonts w:ascii="Times New Roman" w:eastAsia="Times New Roman" w:hAnsi="Times New Roman" w:cs="Times New Roman"/>
                <w:color w:val="000000"/>
                <w:sz w:val="24"/>
                <w:szCs w:val="24"/>
              </w:rPr>
              <w:t>8</w:t>
            </w:r>
            <w:r w:rsidRPr="001E2B7E">
              <w:rPr>
                <w:rFonts w:ascii="Times New Roman" w:eastAsia="Times New Roman" w:hAnsi="Times New Roman" w:cs="Times New Roman"/>
                <w:color w:val="000000"/>
                <w:sz w:val="24"/>
                <w:szCs w:val="24"/>
              </w:rPr>
              <w:t>.</w:t>
            </w:r>
          </w:p>
        </w:tc>
        <w:tc>
          <w:tcPr>
            <w:tcW w:w="947"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20C8969F" w14:textId="04FA8129" w:rsidR="0034158A" w:rsidRPr="001E2B7E" w:rsidRDefault="0034158A"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Indeks 2</w:t>
            </w:r>
            <w:r w:rsidR="001368A9" w:rsidRPr="001E2B7E">
              <w:rPr>
                <w:rFonts w:ascii="Times New Roman" w:eastAsia="Times New Roman" w:hAnsi="Times New Roman" w:cs="Times New Roman"/>
                <w:color w:val="000000"/>
                <w:sz w:val="24"/>
                <w:szCs w:val="24"/>
              </w:rPr>
              <w:t>6</w:t>
            </w:r>
            <w:r w:rsidRPr="001E2B7E">
              <w:rPr>
                <w:rFonts w:ascii="Times New Roman" w:eastAsia="Times New Roman" w:hAnsi="Times New Roman" w:cs="Times New Roman"/>
                <w:color w:val="000000"/>
                <w:sz w:val="24"/>
                <w:szCs w:val="24"/>
              </w:rPr>
              <w:t>./2</w:t>
            </w:r>
            <w:r w:rsidR="001368A9" w:rsidRPr="001E2B7E">
              <w:rPr>
                <w:rFonts w:ascii="Times New Roman" w:eastAsia="Times New Roman" w:hAnsi="Times New Roman" w:cs="Times New Roman"/>
                <w:color w:val="000000"/>
                <w:sz w:val="24"/>
                <w:szCs w:val="24"/>
              </w:rPr>
              <w:t>5</w:t>
            </w:r>
            <w:r w:rsidRPr="001E2B7E">
              <w:rPr>
                <w:rFonts w:ascii="Times New Roman" w:eastAsia="Times New Roman" w:hAnsi="Times New Roman" w:cs="Times New Roman"/>
                <w:color w:val="000000"/>
                <w:sz w:val="24"/>
                <w:szCs w:val="24"/>
              </w:rPr>
              <w:t>.</w:t>
            </w:r>
          </w:p>
        </w:tc>
      </w:tr>
      <w:tr w:rsidR="0034158A" w:rsidRPr="001E2B7E" w14:paraId="7AF7F0EB" w14:textId="77777777" w:rsidTr="0034158A">
        <w:trPr>
          <w:trHeight w:val="450"/>
        </w:trPr>
        <w:tc>
          <w:tcPr>
            <w:tcW w:w="1881" w:type="dxa"/>
            <w:vMerge/>
            <w:tcBorders>
              <w:top w:val="single" w:sz="8" w:space="0" w:color="auto"/>
              <w:left w:val="single" w:sz="8" w:space="0" w:color="auto"/>
              <w:bottom w:val="single" w:sz="8" w:space="0" w:color="000000"/>
              <w:right w:val="single" w:sz="8" w:space="0" w:color="auto"/>
            </w:tcBorders>
            <w:vAlign w:val="center"/>
            <w:hideMark/>
          </w:tcPr>
          <w:p w14:paraId="230256ED" w14:textId="77777777" w:rsidR="0034158A" w:rsidRPr="001E2B7E" w:rsidRDefault="0034158A" w:rsidP="00351FDD">
            <w:pPr>
              <w:spacing w:after="0" w:line="240" w:lineRule="auto"/>
              <w:rPr>
                <w:rFonts w:ascii="Times New Roman" w:eastAsia="Times New Roman" w:hAnsi="Times New Roman" w:cs="Times New Roman"/>
                <w:color w:val="000000"/>
                <w:sz w:val="24"/>
                <w:szCs w:val="24"/>
              </w:rPr>
            </w:pPr>
          </w:p>
        </w:tc>
        <w:tc>
          <w:tcPr>
            <w:tcW w:w="1245" w:type="dxa"/>
            <w:vMerge/>
            <w:tcBorders>
              <w:top w:val="single" w:sz="8" w:space="0" w:color="auto"/>
              <w:left w:val="single" w:sz="8" w:space="0" w:color="auto"/>
              <w:bottom w:val="single" w:sz="8" w:space="0" w:color="000000"/>
              <w:right w:val="single" w:sz="8" w:space="0" w:color="auto"/>
            </w:tcBorders>
            <w:vAlign w:val="center"/>
            <w:hideMark/>
          </w:tcPr>
          <w:p w14:paraId="2BCD9352" w14:textId="77777777" w:rsidR="0034158A" w:rsidRPr="001E2B7E" w:rsidRDefault="0034158A" w:rsidP="00351FDD">
            <w:pPr>
              <w:spacing w:after="0" w:line="240" w:lineRule="auto"/>
              <w:rPr>
                <w:rFonts w:ascii="Times New Roman" w:eastAsia="Times New Roman" w:hAnsi="Times New Roman" w:cs="Times New Roman"/>
                <w:color w:val="000000"/>
                <w:sz w:val="24"/>
                <w:szCs w:val="24"/>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089986BC" w14:textId="77777777" w:rsidR="0034158A" w:rsidRPr="001E2B7E" w:rsidRDefault="0034158A" w:rsidP="00351FDD">
            <w:pPr>
              <w:spacing w:after="0" w:line="240" w:lineRule="auto"/>
              <w:rPr>
                <w:rFonts w:ascii="Times New Roman" w:eastAsia="Times New Roman" w:hAnsi="Times New Roman" w:cs="Times New Roman"/>
                <w:color w:val="000000"/>
                <w:sz w:val="24"/>
                <w:szCs w:val="24"/>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04D29AE4" w14:textId="77777777" w:rsidR="0034158A" w:rsidRPr="001E2B7E" w:rsidRDefault="0034158A" w:rsidP="00351FDD">
            <w:pPr>
              <w:spacing w:after="0" w:line="240" w:lineRule="auto"/>
              <w:rPr>
                <w:rFonts w:ascii="Times New Roman" w:eastAsia="Times New Roman" w:hAnsi="Times New Roman" w:cs="Times New Roman"/>
                <w:color w:val="000000"/>
                <w:sz w:val="24"/>
                <w:szCs w:val="24"/>
              </w:rPr>
            </w:pPr>
          </w:p>
        </w:tc>
        <w:tc>
          <w:tcPr>
            <w:tcW w:w="1205" w:type="dxa"/>
            <w:vMerge/>
            <w:tcBorders>
              <w:top w:val="single" w:sz="8" w:space="0" w:color="auto"/>
              <w:left w:val="single" w:sz="8" w:space="0" w:color="auto"/>
              <w:bottom w:val="single" w:sz="8" w:space="0" w:color="000000"/>
              <w:right w:val="single" w:sz="8" w:space="0" w:color="auto"/>
            </w:tcBorders>
            <w:vAlign w:val="center"/>
            <w:hideMark/>
          </w:tcPr>
          <w:p w14:paraId="1E8CBFF9" w14:textId="77777777" w:rsidR="0034158A" w:rsidRPr="001E2B7E" w:rsidRDefault="0034158A" w:rsidP="00351FDD">
            <w:pPr>
              <w:spacing w:after="0" w:line="240" w:lineRule="auto"/>
              <w:rPr>
                <w:rFonts w:ascii="Times New Roman" w:eastAsia="Times New Roman" w:hAnsi="Times New Roman" w:cs="Times New Roman"/>
                <w:color w:val="000000"/>
                <w:sz w:val="24"/>
                <w:szCs w:val="24"/>
              </w:rPr>
            </w:pP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18AD6E34" w14:textId="77777777" w:rsidR="0034158A" w:rsidRPr="001E2B7E" w:rsidRDefault="0034158A" w:rsidP="00351FDD">
            <w:pPr>
              <w:spacing w:after="0" w:line="240" w:lineRule="auto"/>
              <w:rPr>
                <w:rFonts w:ascii="Times New Roman" w:eastAsia="Times New Roman" w:hAnsi="Times New Roman" w:cs="Times New Roman"/>
                <w:color w:val="000000"/>
                <w:sz w:val="24"/>
                <w:szCs w:val="24"/>
              </w:rPr>
            </w:pPr>
          </w:p>
        </w:tc>
        <w:tc>
          <w:tcPr>
            <w:tcW w:w="947" w:type="dxa"/>
            <w:vMerge/>
            <w:tcBorders>
              <w:top w:val="single" w:sz="8" w:space="0" w:color="auto"/>
              <w:left w:val="single" w:sz="8" w:space="0" w:color="auto"/>
              <w:bottom w:val="single" w:sz="8" w:space="0" w:color="000000"/>
              <w:right w:val="single" w:sz="8" w:space="0" w:color="auto"/>
            </w:tcBorders>
            <w:vAlign w:val="center"/>
            <w:hideMark/>
          </w:tcPr>
          <w:p w14:paraId="506983F3" w14:textId="77777777" w:rsidR="0034158A" w:rsidRPr="001E2B7E" w:rsidRDefault="0034158A" w:rsidP="00351FDD">
            <w:pPr>
              <w:spacing w:after="0" w:line="240" w:lineRule="auto"/>
              <w:rPr>
                <w:rFonts w:ascii="Times New Roman" w:eastAsia="Times New Roman" w:hAnsi="Times New Roman" w:cs="Times New Roman"/>
                <w:color w:val="000000"/>
                <w:sz w:val="24"/>
                <w:szCs w:val="24"/>
              </w:rPr>
            </w:pPr>
          </w:p>
        </w:tc>
      </w:tr>
      <w:tr w:rsidR="0034158A" w:rsidRPr="001E2B7E" w14:paraId="3D75AD65" w14:textId="77777777" w:rsidTr="0034158A">
        <w:trPr>
          <w:trHeight w:val="315"/>
        </w:trPr>
        <w:tc>
          <w:tcPr>
            <w:tcW w:w="1881" w:type="dxa"/>
            <w:tcBorders>
              <w:top w:val="nil"/>
              <w:left w:val="single" w:sz="8" w:space="0" w:color="auto"/>
              <w:bottom w:val="nil"/>
              <w:right w:val="single" w:sz="8" w:space="0" w:color="auto"/>
            </w:tcBorders>
            <w:vAlign w:val="center"/>
            <w:hideMark/>
          </w:tcPr>
          <w:p w14:paraId="14E259F0" w14:textId="07BE0CDC" w:rsidR="0034158A" w:rsidRPr="001E2B7E" w:rsidRDefault="0034158A" w:rsidP="00351FDD">
            <w:pPr>
              <w:spacing w:after="0" w:line="240" w:lineRule="auto"/>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A</w:t>
            </w:r>
            <w:r w:rsidR="00041714">
              <w:rPr>
                <w:rFonts w:ascii="Times New Roman" w:eastAsia="Times New Roman" w:hAnsi="Times New Roman" w:cs="Times New Roman"/>
                <w:color w:val="000000"/>
                <w:sz w:val="24"/>
                <w:szCs w:val="24"/>
              </w:rPr>
              <w:t>679135</w:t>
            </w:r>
          </w:p>
        </w:tc>
        <w:tc>
          <w:tcPr>
            <w:tcW w:w="1245" w:type="dxa"/>
            <w:tcBorders>
              <w:top w:val="nil"/>
              <w:left w:val="nil"/>
              <w:bottom w:val="nil"/>
              <w:right w:val="single" w:sz="8" w:space="0" w:color="auto"/>
            </w:tcBorders>
            <w:vAlign w:val="center"/>
            <w:hideMark/>
          </w:tcPr>
          <w:p w14:paraId="4AA11BB0" w14:textId="77777777" w:rsidR="0034158A" w:rsidRPr="001E2B7E" w:rsidRDefault="0034158A"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176" w:type="dxa"/>
            <w:tcBorders>
              <w:top w:val="nil"/>
              <w:left w:val="nil"/>
              <w:bottom w:val="nil"/>
              <w:right w:val="single" w:sz="8" w:space="0" w:color="auto"/>
            </w:tcBorders>
            <w:vAlign w:val="center"/>
            <w:hideMark/>
          </w:tcPr>
          <w:p w14:paraId="21AFFE10" w14:textId="77777777" w:rsidR="0034158A" w:rsidRPr="001E2B7E" w:rsidRDefault="0034158A"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176" w:type="dxa"/>
            <w:tcBorders>
              <w:top w:val="nil"/>
              <w:left w:val="nil"/>
              <w:bottom w:val="nil"/>
              <w:right w:val="single" w:sz="8" w:space="0" w:color="auto"/>
            </w:tcBorders>
            <w:vAlign w:val="center"/>
            <w:hideMark/>
          </w:tcPr>
          <w:p w14:paraId="77B27E75" w14:textId="77777777" w:rsidR="0034158A" w:rsidRPr="001E2B7E" w:rsidRDefault="0034158A"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205" w:type="dxa"/>
            <w:tcBorders>
              <w:top w:val="nil"/>
              <w:left w:val="nil"/>
              <w:bottom w:val="nil"/>
              <w:right w:val="single" w:sz="8" w:space="0" w:color="auto"/>
            </w:tcBorders>
            <w:vAlign w:val="center"/>
            <w:hideMark/>
          </w:tcPr>
          <w:p w14:paraId="15AA35C2" w14:textId="77777777" w:rsidR="0034158A" w:rsidRPr="001E2B7E" w:rsidRDefault="0034158A"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190" w:type="dxa"/>
            <w:tcBorders>
              <w:top w:val="nil"/>
              <w:left w:val="nil"/>
              <w:bottom w:val="nil"/>
              <w:right w:val="single" w:sz="8" w:space="0" w:color="auto"/>
            </w:tcBorders>
            <w:vAlign w:val="center"/>
            <w:hideMark/>
          </w:tcPr>
          <w:p w14:paraId="3DDD12A4" w14:textId="77777777" w:rsidR="0034158A" w:rsidRPr="001E2B7E" w:rsidRDefault="0034158A"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947" w:type="dxa"/>
            <w:tcBorders>
              <w:top w:val="nil"/>
              <w:left w:val="nil"/>
              <w:bottom w:val="nil"/>
              <w:right w:val="single" w:sz="8" w:space="0" w:color="auto"/>
            </w:tcBorders>
            <w:vAlign w:val="center"/>
            <w:hideMark/>
          </w:tcPr>
          <w:p w14:paraId="6520FC23" w14:textId="77777777" w:rsidR="0034158A" w:rsidRPr="001E2B7E" w:rsidRDefault="0034158A"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r>
      <w:tr w:rsidR="001368A9" w:rsidRPr="001E2B7E" w14:paraId="7A11DDBD" w14:textId="77777777" w:rsidTr="00403A1F">
        <w:trPr>
          <w:trHeight w:val="330"/>
        </w:trPr>
        <w:tc>
          <w:tcPr>
            <w:tcW w:w="1881" w:type="dxa"/>
            <w:tcBorders>
              <w:top w:val="nil"/>
              <w:left w:val="single" w:sz="8" w:space="0" w:color="auto"/>
              <w:bottom w:val="single" w:sz="8" w:space="0" w:color="auto"/>
              <w:right w:val="single" w:sz="8" w:space="0" w:color="auto"/>
            </w:tcBorders>
            <w:vAlign w:val="center"/>
            <w:hideMark/>
          </w:tcPr>
          <w:p w14:paraId="6689DDFF" w14:textId="77777777" w:rsidR="001368A9" w:rsidRPr="001E2B7E" w:rsidRDefault="001368A9" w:rsidP="001368A9">
            <w:pPr>
              <w:spacing w:after="0" w:line="240" w:lineRule="auto"/>
              <w:ind w:firstLineChars="500" w:firstLine="1200"/>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245" w:type="dxa"/>
            <w:tcBorders>
              <w:top w:val="nil"/>
              <w:left w:val="nil"/>
              <w:bottom w:val="single" w:sz="8" w:space="0" w:color="auto"/>
              <w:right w:val="single" w:sz="8" w:space="0" w:color="auto"/>
            </w:tcBorders>
            <w:hideMark/>
          </w:tcPr>
          <w:p w14:paraId="52166577" w14:textId="060D4D7B" w:rsidR="001368A9" w:rsidRPr="001E2B7E" w:rsidRDefault="001368A9" w:rsidP="001368A9">
            <w:pPr>
              <w:spacing w:after="0" w:line="240" w:lineRule="auto"/>
              <w:jc w:val="both"/>
              <w:rPr>
                <w:rFonts w:ascii="Times New Roman" w:eastAsia="Times New Roman" w:hAnsi="Times New Roman" w:cs="Times New Roman"/>
                <w:color w:val="000000"/>
                <w:sz w:val="24"/>
                <w:szCs w:val="24"/>
              </w:rPr>
            </w:pPr>
            <w:r w:rsidRPr="001E2B7E">
              <w:rPr>
                <w:rFonts w:ascii="Times New Roman" w:hAnsi="Times New Roman" w:cs="Times New Roman"/>
              </w:rPr>
              <w:t>3.173.546</w:t>
            </w:r>
          </w:p>
        </w:tc>
        <w:tc>
          <w:tcPr>
            <w:tcW w:w="1176" w:type="dxa"/>
            <w:tcBorders>
              <w:top w:val="nil"/>
              <w:left w:val="nil"/>
              <w:bottom w:val="single" w:sz="8" w:space="0" w:color="auto"/>
              <w:right w:val="single" w:sz="8" w:space="0" w:color="auto"/>
            </w:tcBorders>
            <w:hideMark/>
          </w:tcPr>
          <w:p w14:paraId="403F5A4D" w14:textId="1BE94C5A" w:rsidR="001368A9" w:rsidRPr="001E2B7E" w:rsidRDefault="001368A9" w:rsidP="001368A9">
            <w:pPr>
              <w:spacing w:after="0" w:line="240" w:lineRule="auto"/>
              <w:jc w:val="both"/>
              <w:rPr>
                <w:rFonts w:ascii="Times New Roman" w:eastAsia="Times New Roman" w:hAnsi="Times New Roman" w:cs="Times New Roman"/>
                <w:color w:val="000000"/>
                <w:sz w:val="24"/>
                <w:szCs w:val="24"/>
              </w:rPr>
            </w:pPr>
            <w:r w:rsidRPr="001E2B7E">
              <w:rPr>
                <w:rFonts w:ascii="Times New Roman" w:hAnsi="Times New Roman" w:cs="Times New Roman"/>
              </w:rPr>
              <w:t>3.613.436</w:t>
            </w:r>
          </w:p>
        </w:tc>
        <w:tc>
          <w:tcPr>
            <w:tcW w:w="1176" w:type="dxa"/>
            <w:tcBorders>
              <w:top w:val="nil"/>
              <w:left w:val="nil"/>
              <w:bottom w:val="single" w:sz="8" w:space="0" w:color="auto"/>
              <w:right w:val="single" w:sz="8" w:space="0" w:color="auto"/>
            </w:tcBorders>
            <w:hideMark/>
          </w:tcPr>
          <w:p w14:paraId="59780E2B" w14:textId="323BE2F1" w:rsidR="001368A9" w:rsidRPr="001E2B7E" w:rsidRDefault="001368A9" w:rsidP="001368A9">
            <w:pPr>
              <w:spacing w:after="0" w:line="240" w:lineRule="auto"/>
              <w:jc w:val="both"/>
              <w:rPr>
                <w:rFonts w:ascii="Times New Roman" w:eastAsia="Times New Roman" w:hAnsi="Times New Roman" w:cs="Times New Roman"/>
                <w:color w:val="000000"/>
                <w:sz w:val="24"/>
                <w:szCs w:val="24"/>
              </w:rPr>
            </w:pPr>
            <w:r w:rsidRPr="001E2B7E">
              <w:rPr>
                <w:rFonts w:ascii="Times New Roman" w:hAnsi="Times New Roman" w:cs="Times New Roman"/>
              </w:rPr>
              <w:t>3.394.979</w:t>
            </w:r>
          </w:p>
        </w:tc>
        <w:tc>
          <w:tcPr>
            <w:tcW w:w="1205" w:type="dxa"/>
            <w:tcBorders>
              <w:top w:val="nil"/>
              <w:left w:val="nil"/>
              <w:bottom w:val="single" w:sz="8" w:space="0" w:color="auto"/>
              <w:right w:val="single" w:sz="8" w:space="0" w:color="auto"/>
            </w:tcBorders>
            <w:hideMark/>
          </w:tcPr>
          <w:p w14:paraId="6DC46B6C" w14:textId="03E42CB9" w:rsidR="001368A9" w:rsidRPr="001E2B7E" w:rsidRDefault="001368A9" w:rsidP="001368A9">
            <w:pPr>
              <w:spacing w:after="0" w:line="240" w:lineRule="auto"/>
              <w:jc w:val="both"/>
              <w:rPr>
                <w:rFonts w:ascii="Times New Roman" w:eastAsia="Times New Roman" w:hAnsi="Times New Roman" w:cs="Times New Roman"/>
                <w:color w:val="000000"/>
                <w:sz w:val="24"/>
                <w:szCs w:val="24"/>
              </w:rPr>
            </w:pPr>
            <w:r w:rsidRPr="001E2B7E">
              <w:rPr>
                <w:rFonts w:ascii="Times New Roman" w:hAnsi="Times New Roman" w:cs="Times New Roman"/>
              </w:rPr>
              <w:t>3.454.394</w:t>
            </w:r>
          </w:p>
        </w:tc>
        <w:tc>
          <w:tcPr>
            <w:tcW w:w="1190" w:type="dxa"/>
            <w:tcBorders>
              <w:top w:val="nil"/>
              <w:left w:val="nil"/>
              <w:bottom w:val="single" w:sz="8" w:space="0" w:color="auto"/>
              <w:right w:val="single" w:sz="8" w:space="0" w:color="auto"/>
            </w:tcBorders>
            <w:hideMark/>
          </w:tcPr>
          <w:p w14:paraId="235A0C57" w14:textId="4DCEC6C6" w:rsidR="001368A9" w:rsidRPr="001E2B7E" w:rsidRDefault="001368A9" w:rsidP="001368A9">
            <w:pPr>
              <w:spacing w:after="0" w:line="240" w:lineRule="auto"/>
              <w:jc w:val="both"/>
              <w:rPr>
                <w:rFonts w:ascii="Times New Roman" w:eastAsia="Times New Roman" w:hAnsi="Times New Roman" w:cs="Times New Roman"/>
                <w:color w:val="000000"/>
                <w:sz w:val="24"/>
                <w:szCs w:val="24"/>
              </w:rPr>
            </w:pPr>
            <w:r w:rsidRPr="001E2B7E">
              <w:rPr>
                <w:rFonts w:ascii="Times New Roman" w:hAnsi="Times New Roman" w:cs="Times New Roman"/>
              </w:rPr>
              <w:t>3.521.927</w:t>
            </w:r>
          </w:p>
        </w:tc>
        <w:tc>
          <w:tcPr>
            <w:tcW w:w="947" w:type="dxa"/>
            <w:tcBorders>
              <w:top w:val="nil"/>
              <w:left w:val="nil"/>
              <w:bottom w:val="single" w:sz="8" w:space="0" w:color="auto"/>
              <w:right w:val="single" w:sz="8" w:space="0" w:color="auto"/>
            </w:tcBorders>
            <w:vAlign w:val="center"/>
            <w:hideMark/>
          </w:tcPr>
          <w:p w14:paraId="5098340E" w14:textId="1150C194" w:rsidR="001368A9" w:rsidRPr="001E2B7E" w:rsidRDefault="004C0A23" w:rsidP="001368A9">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93,95</w:t>
            </w:r>
          </w:p>
        </w:tc>
      </w:tr>
    </w:tbl>
    <w:p w14:paraId="1A74A801" w14:textId="77777777" w:rsidR="003F577B" w:rsidRPr="001E2B7E" w:rsidRDefault="003F577B" w:rsidP="00351FDD">
      <w:pPr>
        <w:spacing w:line="240" w:lineRule="auto"/>
        <w:ind w:left="720"/>
        <w:jc w:val="both"/>
        <w:rPr>
          <w:rFonts w:ascii="Times New Roman" w:hAnsi="Times New Roman" w:cs="Times New Roman"/>
          <w:sz w:val="24"/>
          <w:szCs w:val="24"/>
        </w:rPr>
      </w:pPr>
    </w:p>
    <w:p w14:paraId="085DEA16" w14:textId="77777777" w:rsidR="003F577B" w:rsidRPr="001E2B7E" w:rsidRDefault="003F577B" w:rsidP="00351FDD">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Istom strateškom cilju namjenjeni su i tzv. vlastiti prihodi fakulteta ostvareni na tržištu te su usmjereni kao dopunski izvor financir</w:t>
      </w:r>
      <w:r w:rsidR="00026F7E" w:rsidRPr="001E2B7E">
        <w:rPr>
          <w:rFonts w:ascii="Times New Roman" w:hAnsi="Times New Roman" w:cs="Times New Roman"/>
          <w:sz w:val="24"/>
          <w:szCs w:val="24"/>
        </w:rPr>
        <w:t>anja proračunskim sredstvima. T</w:t>
      </w:r>
      <w:r w:rsidRPr="001E2B7E">
        <w:rPr>
          <w:rFonts w:ascii="Times New Roman" w:hAnsi="Times New Roman" w:cs="Times New Roman"/>
          <w:sz w:val="24"/>
          <w:szCs w:val="24"/>
        </w:rPr>
        <w:t xml:space="preserve">o je u suglasju s polaznim osnovama sustava financiranja unutar Sveučilišta te na tragu pronalaženja optimalne kombinacije udjela države i tržišta u ostvarivanju razvojnih ciljeva u visokom obrazovanju. </w:t>
      </w:r>
    </w:p>
    <w:p w14:paraId="7A81E995" w14:textId="39D4A193" w:rsidR="00E66BA7" w:rsidRPr="001E2B7E" w:rsidRDefault="00BC4125" w:rsidP="00351FDD">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Veterinarski f</w:t>
      </w:r>
      <w:r w:rsidR="00214CD7" w:rsidRPr="001E2B7E">
        <w:rPr>
          <w:rFonts w:ascii="Times New Roman" w:hAnsi="Times New Roman" w:cs="Times New Roman"/>
          <w:sz w:val="24"/>
          <w:szCs w:val="24"/>
        </w:rPr>
        <w:t xml:space="preserve">akultet ostvaruje vlastite prihode od obavljanja poslova na tržištu: veterinarskih usluga, </w:t>
      </w:r>
      <w:r w:rsidRPr="001E2B7E">
        <w:rPr>
          <w:rFonts w:ascii="Times New Roman" w:hAnsi="Times New Roman" w:cs="Times New Roman"/>
          <w:sz w:val="24"/>
          <w:szCs w:val="24"/>
        </w:rPr>
        <w:t xml:space="preserve">stručne </w:t>
      </w:r>
      <w:r w:rsidR="00214CD7" w:rsidRPr="001E2B7E">
        <w:rPr>
          <w:rFonts w:ascii="Times New Roman" w:hAnsi="Times New Roman" w:cs="Times New Roman"/>
          <w:sz w:val="24"/>
          <w:szCs w:val="24"/>
        </w:rPr>
        <w:t>suradnje s privredom, izvođenja programa cjeloživotnog učenja, specijalističkih tečajeva, radionica i kongresa,</w:t>
      </w:r>
      <w:r w:rsidR="00342441">
        <w:rPr>
          <w:rFonts w:ascii="Times New Roman" w:hAnsi="Times New Roman" w:cs="Times New Roman"/>
          <w:sz w:val="24"/>
          <w:szCs w:val="24"/>
        </w:rPr>
        <w:t xml:space="preserve"> </w:t>
      </w:r>
      <w:r w:rsidR="00214CD7" w:rsidRPr="001E2B7E">
        <w:rPr>
          <w:rFonts w:ascii="Times New Roman" w:hAnsi="Times New Roman" w:cs="Times New Roman"/>
          <w:sz w:val="24"/>
          <w:szCs w:val="24"/>
        </w:rPr>
        <w:t>sudskih vještačenja, sponzorstava te iznajmljivanja prostora. Planirani prihodi se koriste za podmirivanje rashoda za zaposlene koji se ne financiraju iz Državnog proračuna, a zaposleni su radi povećanog obujma posla potrebnog za obavljanje djelatnosti, za pokrivanje materijalnih rashoda i financijskih rashoda.</w:t>
      </w:r>
    </w:p>
    <w:p w14:paraId="6253BAD0" w14:textId="77777777" w:rsidR="00721F13" w:rsidRPr="001E2B7E" w:rsidRDefault="00721F13" w:rsidP="00351FDD">
      <w:pPr>
        <w:spacing w:before="100" w:beforeAutospacing="1" w:after="100" w:afterAutospacing="1" w:line="240" w:lineRule="auto"/>
        <w:rPr>
          <w:rFonts w:ascii="Times New Roman" w:hAnsi="Times New Roman" w:cs="Times New Roman"/>
          <w:i/>
          <w:color w:val="000000"/>
          <w:sz w:val="24"/>
          <w:szCs w:val="24"/>
        </w:rPr>
      </w:pPr>
      <w:r w:rsidRPr="001E2B7E">
        <w:rPr>
          <w:rFonts w:ascii="Times New Roman" w:hAnsi="Times New Roman" w:cs="Times New Roman"/>
          <w:i/>
          <w:sz w:val="24"/>
          <w:szCs w:val="24"/>
        </w:rPr>
        <w:t>Ishodište i pokazatelji na kojima se zasnivaju izračuni – Vlastiti prihodi</w:t>
      </w:r>
    </w:p>
    <w:p w14:paraId="4132ACD5" w14:textId="16A207D7" w:rsidR="00721F13" w:rsidRPr="001E2B7E" w:rsidRDefault="00721F13" w:rsidP="00351FDD">
      <w:pPr>
        <w:spacing w:before="100" w:beforeAutospacing="1" w:after="100" w:afterAutospacing="1" w:line="240" w:lineRule="auto"/>
        <w:jc w:val="both"/>
        <w:rPr>
          <w:rFonts w:ascii="Times New Roman" w:hAnsi="Times New Roman" w:cs="Times New Roman"/>
          <w:i/>
          <w:color w:val="000000"/>
          <w:sz w:val="24"/>
          <w:szCs w:val="24"/>
        </w:rPr>
      </w:pPr>
      <w:r w:rsidRPr="001E2B7E">
        <w:rPr>
          <w:rFonts w:ascii="Times New Roman" w:hAnsi="Times New Roman" w:cs="Times New Roman"/>
          <w:i/>
          <w:color w:val="000000"/>
          <w:sz w:val="24"/>
          <w:szCs w:val="24"/>
        </w:rPr>
        <w:t>Vlastiti prihodi za 20</w:t>
      </w:r>
      <w:r w:rsidR="00B86C28" w:rsidRPr="001E2B7E">
        <w:rPr>
          <w:rFonts w:ascii="Times New Roman" w:hAnsi="Times New Roman" w:cs="Times New Roman"/>
          <w:i/>
          <w:color w:val="000000"/>
          <w:sz w:val="24"/>
          <w:szCs w:val="24"/>
        </w:rPr>
        <w:t>2</w:t>
      </w:r>
      <w:r w:rsidR="001368A9" w:rsidRPr="001E2B7E">
        <w:rPr>
          <w:rFonts w:ascii="Times New Roman" w:hAnsi="Times New Roman" w:cs="Times New Roman"/>
          <w:i/>
          <w:color w:val="000000"/>
          <w:sz w:val="24"/>
          <w:szCs w:val="24"/>
        </w:rPr>
        <w:t>6</w:t>
      </w:r>
      <w:r w:rsidR="003C2B28" w:rsidRPr="001E2B7E">
        <w:rPr>
          <w:rFonts w:ascii="Times New Roman" w:hAnsi="Times New Roman" w:cs="Times New Roman"/>
          <w:i/>
          <w:color w:val="000000"/>
          <w:sz w:val="24"/>
          <w:szCs w:val="24"/>
        </w:rPr>
        <w:t>.</w:t>
      </w:r>
      <w:r w:rsidR="00B86C28" w:rsidRPr="001E2B7E">
        <w:rPr>
          <w:rFonts w:ascii="Times New Roman" w:hAnsi="Times New Roman" w:cs="Times New Roman"/>
          <w:i/>
          <w:color w:val="000000"/>
          <w:sz w:val="24"/>
          <w:szCs w:val="24"/>
        </w:rPr>
        <w:t xml:space="preserve"> godinu  u iznosu od </w:t>
      </w:r>
      <w:r w:rsidR="0034158A" w:rsidRPr="001E2B7E">
        <w:rPr>
          <w:rFonts w:ascii="Times New Roman" w:hAnsi="Times New Roman" w:cs="Times New Roman"/>
          <w:i/>
          <w:color w:val="000000"/>
          <w:sz w:val="24"/>
          <w:szCs w:val="24"/>
        </w:rPr>
        <w:t>3.</w:t>
      </w:r>
      <w:r w:rsidR="001368A9" w:rsidRPr="001E2B7E">
        <w:rPr>
          <w:rFonts w:ascii="Times New Roman" w:hAnsi="Times New Roman" w:cs="Times New Roman"/>
          <w:i/>
          <w:color w:val="000000"/>
          <w:sz w:val="24"/>
          <w:szCs w:val="24"/>
        </w:rPr>
        <w:t>394.979</w:t>
      </w:r>
      <w:r w:rsidR="000F275B" w:rsidRPr="001E2B7E">
        <w:rPr>
          <w:rFonts w:ascii="Times New Roman" w:hAnsi="Times New Roman" w:cs="Times New Roman"/>
          <w:i/>
          <w:color w:val="000000"/>
          <w:sz w:val="24"/>
          <w:szCs w:val="24"/>
        </w:rPr>
        <w:t xml:space="preserve"> eura</w:t>
      </w:r>
      <w:r w:rsidRPr="001E2B7E">
        <w:rPr>
          <w:rFonts w:ascii="Times New Roman" w:hAnsi="Times New Roman" w:cs="Times New Roman"/>
          <w:i/>
          <w:color w:val="000000"/>
          <w:sz w:val="24"/>
          <w:szCs w:val="24"/>
        </w:rPr>
        <w:t xml:space="preserve"> planirani prema procjeni broja pacijenata prethodne godine</w:t>
      </w:r>
      <w:r w:rsidR="003549D3" w:rsidRPr="001E2B7E">
        <w:rPr>
          <w:rFonts w:ascii="Times New Roman" w:hAnsi="Times New Roman" w:cs="Times New Roman"/>
          <w:i/>
          <w:color w:val="000000"/>
          <w:sz w:val="24"/>
          <w:szCs w:val="24"/>
        </w:rPr>
        <w:t xml:space="preserve">, broju polaznika tečajeva i radionica </w:t>
      </w:r>
      <w:r w:rsidRPr="001E2B7E">
        <w:rPr>
          <w:rFonts w:ascii="Times New Roman" w:hAnsi="Times New Roman" w:cs="Times New Roman"/>
          <w:i/>
          <w:color w:val="000000"/>
          <w:sz w:val="24"/>
          <w:szCs w:val="24"/>
        </w:rPr>
        <w:t xml:space="preserve"> kao i ugovornim obvezama </w:t>
      </w:r>
      <w:r w:rsidR="003549D3" w:rsidRPr="001E2B7E">
        <w:rPr>
          <w:rFonts w:ascii="Times New Roman" w:hAnsi="Times New Roman" w:cs="Times New Roman"/>
          <w:i/>
          <w:color w:val="000000"/>
          <w:sz w:val="24"/>
          <w:szCs w:val="24"/>
        </w:rPr>
        <w:t xml:space="preserve">stručne suradnje s </w:t>
      </w:r>
      <w:r w:rsidRPr="001E2B7E">
        <w:rPr>
          <w:rFonts w:ascii="Times New Roman" w:hAnsi="Times New Roman" w:cs="Times New Roman"/>
          <w:i/>
          <w:color w:val="000000"/>
          <w:sz w:val="24"/>
          <w:szCs w:val="24"/>
        </w:rPr>
        <w:t>privredom</w:t>
      </w:r>
      <w:r w:rsidR="000F275B" w:rsidRPr="001E2B7E">
        <w:rPr>
          <w:rFonts w:ascii="Times New Roman" w:hAnsi="Times New Roman" w:cs="Times New Roman"/>
          <w:i/>
          <w:color w:val="000000"/>
          <w:sz w:val="24"/>
          <w:szCs w:val="24"/>
        </w:rPr>
        <w:t>,</w:t>
      </w:r>
      <w:r w:rsidRPr="001E2B7E">
        <w:rPr>
          <w:rFonts w:ascii="Times New Roman" w:hAnsi="Times New Roman" w:cs="Times New Roman"/>
          <w:i/>
          <w:color w:val="000000"/>
          <w:sz w:val="24"/>
          <w:szCs w:val="24"/>
        </w:rPr>
        <w:t xml:space="preserve"> a sukladno potpisanim ugovorima na bazi vrsta i količina roba i usluga.</w:t>
      </w:r>
    </w:p>
    <w:p w14:paraId="501D371A" w14:textId="77777777" w:rsidR="003F577B" w:rsidRPr="001E2B7E" w:rsidRDefault="003F577B" w:rsidP="00351FDD">
      <w:pPr>
        <w:spacing w:after="0" w:line="240" w:lineRule="auto"/>
        <w:jc w:val="both"/>
        <w:rPr>
          <w:rFonts w:ascii="Times New Roman" w:hAnsi="Times New Roman" w:cs="Times New Roman"/>
          <w:sz w:val="24"/>
          <w:szCs w:val="24"/>
        </w:rPr>
      </w:pPr>
    </w:p>
    <w:p w14:paraId="0BD7C47A" w14:textId="77777777" w:rsidR="009024AF" w:rsidRPr="001E2B7E" w:rsidRDefault="00927915" w:rsidP="00351FDD">
      <w:pPr>
        <w:spacing w:line="240" w:lineRule="auto"/>
        <w:ind w:left="720"/>
        <w:jc w:val="both"/>
        <w:rPr>
          <w:rFonts w:ascii="Times New Roman" w:hAnsi="Times New Roman" w:cs="Times New Roman"/>
          <w:sz w:val="24"/>
          <w:szCs w:val="24"/>
        </w:rPr>
      </w:pPr>
      <w:bookmarkStart w:id="0" w:name="_Hlk54002183"/>
      <w:r w:rsidRPr="001E2B7E">
        <w:rPr>
          <w:rFonts w:ascii="Times New Roman" w:hAnsi="Times New Roman" w:cs="Times New Roman"/>
          <w:sz w:val="24"/>
          <w:szCs w:val="24"/>
        </w:rPr>
        <w:t>1.2</w:t>
      </w:r>
      <w:r w:rsidR="009024AF" w:rsidRPr="001E2B7E">
        <w:rPr>
          <w:rFonts w:ascii="Times New Roman" w:hAnsi="Times New Roman" w:cs="Times New Roman"/>
          <w:sz w:val="24"/>
          <w:szCs w:val="24"/>
        </w:rPr>
        <w:t>. Obrazloženje programa- Prihodi za posebne namjene:</w:t>
      </w:r>
      <w:bookmarkEnd w:id="0"/>
      <w:r w:rsidR="00A02624" w:rsidRPr="001E2B7E">
        <w:rPr>
          <w:rFonts w:ascii="Times New Roman" w:hAnsi="Times New Roman" w:cs="Times New Roman"/>
          <w:sz w:val="24"/>
          <w:szCs w:val="24"/>
        </w:rPr>
        <w:t xml:space="preserve"> </w:t>
      </w:r>
      <w:r w:rsidR="009024AF" w:rsidRPr="001E2B7E">
        <w:rPr>
          <w:rFonts w:ascii="Times New Roman" w:hAnsi="Times New Roman" w:cs="Times New Roman"/>
          <w:sz w:val="24"/>
          <w:szCs w:val="24"/>
        </w:rPr>
        <w:t xml:space="preserve">prihodi od sufinanciranja </w:t>
      </w:r>
      <w:r w:rsidR="00A02624" w:rsidRPr="001E2B7E">
        <w:rPr>
          <w:rFonts w:ascii="Times New Roman" w:hAnsi="Times New Roman" w:cs="Times New Roman"/>
          <w:sz w:val="24"/>
          <w:szCs w:val="24"/>
        </w:rPr>
        <w:t xml:space="preserve">cijene participacije školarina </w:t>
      </w:r>
      <w:r w:rsidRPr="001E2B7E">
        <w:rPr>
          <w:rFonts w:ascii="Times New Roman" w:hAnsi="Times New Roman" w:cs="Times New Roman"/>
          <w:sz w:val="24"/>
          <w:szCs w:val="24"/>
        </w:rPr>
        <w:t xml:space="preserve"> - izvor 43</w:t>
      </w:r>
    </w:p>
    <w:tbl>
      <w:tblPr>
        <w:tblW w:w="8820" w:type="dxa"/>
        <w:tblLook w:val="04A0" w:firstRow="1" w:lastRow="0" w:firstColumn="1" w:lastColumn="0" w:noHBand="0" w:noVBand="1"/>
      </w:tblPr>
      <w:tblGrid>
        <w:gridCol w:w="1881"/>
        <w:gridCol w:w="1245"/>
        <w:gridCol w:w="1176"/>
        <w:gridCol w:w="1176"/>
        <w:gridCol w:w="1205"/>
        <w:gridCol w:w="1190"/>
        <w:gridCol w:w="947"/>
      </w:tblGrid>
      <w:tr w:rsidR="005B7137" w:rsidRPr="001E2B7E" w14:paraId="3A05DBD2" w14:textId="77777777" w:rsidTr="005B7137">
        <w:trPr>
          <w:trHeight w:val="450"/>
        </w:trPr>
        <w:tc>
          <w:tcPr>
            <w:tcW w:w="1881"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6F99429A" w14:textId="77777777" w:rsidR="005B7137" w:rsidRPr="001E2B7E" w:rsidRDefault="005B7137"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245"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659CF652" w14:textId="296F536A" w:rsidR="005B7137" w:rsidRPr="001E2B7E" w:rsidRDefault="005B7137"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Izvršenje 202</w:t>
            </w:r>
            <w:r w:rsidR="00903C40" w:rsidRPr="001E2B7E">
              <w:rPr>
                <w:rFonts w:ascii="Times New Roman" w:eastAsia="Times New Roman" w:hAnsi="Times New Roman" w:cs="Times New Roman"/>
                <w:color w:val="000000"/>
                <w:sz w:val="24"/>
                <w:szCs w:val="24"/>
              </w:rPr>
              <w:t>4</w:t>
            </w:r>
            <w:r w:rsidRPr="001E2B7E">
              <w:rPr>
                <w:rFonts w:ascii="Times New Roman" w:eastAsia="Times New Roman" w:hAnsi="Times New Roman" w:cs="Times New Roman"/>
                <w:color w:val="000000"/>
                <w:sz w:val="24"/>
                <w:szCs w:val="24"/>
              </w:rPr>
              <w:t>.</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51A282AD" w14:textId="5D58680E" w:rsidR="005B7137" w:rsidRPr="001E2B7E" w:rsidRDefault="005B7137"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Plan 202</w:t>
            </w:r>
            <w:r w:rsidR="00903C40" w:rsidRPr="001E2B7E">
              <w:rPr>
                <w:rFonts w:ascii="Times New Roman" w:eastAsia="Times New Roman" w:hAnsi="Times New Roman" w:cs="Times New Roman"/>
                <w:color w:val="000000"/>
                <w:sz w:val="24"/>
                <w:szCs w:val="24"/>
              </w:rPr>
              <w:t>5</w:t>
            </w:r>
            <w:r w:rsidRPr="001E2B7E">
              <w:rPr>
                <w:rFonts w:ascii="Times New Roman" w:eastAsia="Times New Roman" w:hAnsi="Times New Roman" w:cs="Times New Roman"/>
                <w:color w:val="000000"/>
                <w:sz w:val="24"/>
                <w:szCs w:val="24"/>
              </w:rPr>
              <w:t>.</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627C0D59" w14:textId="51A74625" w:rsidR="005B7137" w:rsidRPr="001E2B7E" w:rsidRDefault="005B7137"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Plan 202</w:t>
            </w:r>
            <w:r w:rsidR="00903C40" w:rsidRPr="001E2B7E">
              <w:rPr>
                <w:rFonts w:ascii="Times New Roman" w:eastAsia="Times New Roman" w:hAnsi="Times New Roman" w:cs="Times New Roman"/>
                <w:color w:val="000000"/>
                <w:sz w:val="24"/>
                <w:szCs w:val="24"/>
              </w:rPr>
              <w:t>6</w:t>
            </w:r>
            <w:r w:rsidRPr="001E2B7E">
              <w:rPr>
                <w:rFonts w:ascii="Times New Roman" w:eastAsia="Times New Roman" w:hAnsi="Times New Roman" w:cs="Times New Roman"/>
                <w:color w:val="000000"/>
                <w:sz w:val="24"/>
                <w:szCs w:val="24"/>
              </w:rPr>
              <w:t>.</w:t>
            </w:r>
          </w:p>
        </w:tc>
        <w:tc>
          <w:tcPr>
            <w:tcW w:w="1205"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4C18FBC1" w14:textId="011E7EF4" w:rsidR="005B7137" w:rsidRPr="001E2B7E" w:rsidRDefault="005B7137"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Projekcija 202</w:t>
            </w:r>
            <w:r w:rsidR="00903C40" w:rsidRPr="001E2B7E">
              <w:rPr>
                <w:rFonts w:ascii="Times New Roman" w:eastAsia="Times New Roman" w:hAnsi="Times New Roman" w:cs="Times New Roman"/>
                <w:color w:val="000000"/>
                <w:sz w:val="24"/>
                <w:szCs w:val="24"/>
              </w:rPr>
              <w:t>7</w:t>
            </w:r>
            <w:r w:rsidRPr="001E2B7E">
              <w:rPr>
                <w:rFonts w:ascii="Times New Roman" w:eastAsia="Times New Roman" w:hAnsi="Times New Roman" w:cs="Times New Roman"/>
                <w:color w:val="000000"/>
                <w:sz w:val="24"/>
                <w:szCs w:val="24"/>
              </w:rPr>
              <w:t>.</w:t>
            </w:r>
          </w:p>
        </w:tc>
        <w:tc>
          <w:tcPr>
            <w:tcW w:w="119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757EEE95" w14:textId="30AD0218" w:rsidR="005B7137" w:rsidRPr="001E2B7E" w:rsidRDefault="005B7137"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Projekcija 202</w:t>
            </w:r>
            <w:r w:rsidR="00903C40" w:rsidRPr="001E2B7E">
              <w:rPr>
                <w:rFonts w:ascii="Times New Roman" w:eastAsia="Times New Roman" w:hAnsi="Times New Roman" w:cs="Times New Roman"/>
                <w:color w:val="000000"/>
                <w:sz w:val="24"/>
                <w:szCs w:val="24"/>
              </w:rPr>
              <w:t>8</w:t>
            </w:r>
            <w:r w:rsidRPr="001E2B7E">
              <w:rPr>
                <w:rFonts w:ascii="Times New Roman" w:eastAsia="Times New Roman" w:hAnsi="Times New Roman" w:cs="Times New Roman"/>
                <w:color w:val="000000"/>
                <w:sz w:val="24"/>
                <w:szCs w:val="24"/>
              </w:rPr>
              <w:t>.</w:t>
            </w:r>
          </w:p>
        </w:tc>
        <w:tc>
          <w:tcPr>
            <w:tcW w:w="947"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2193B14F" w14:textId="45108511" w:rsidR="005B7137" w:rsidRPr="001E2B7E" w:rsidRDefault="005B7137"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Indeks 2</w:t>
            </w:r>
            <w:r w:rsidR="00903C40" w:rsidRPr="001E2B7E">
              <w:rPr>
                <w:rFonts w:ascii="Times New Roman" w:eastAsia="Times New Roman" w:hAnsi="Times New Roman" w:cs="Times New Roman"/>
                <w:color w:val="000000"/>
                <w:sz w:val="24"/>
                <w:szCs w:val="24"/>
              </w:rPr>
              <w:t>6</w:t>
            </w:r>
            <w:r w:rsidRPr="001E2B7E">
              <w:rPr>
                <w:rFonts w:ascii="Times New Roman" w:eastAsia="Times New Roman" w:hAnsi="Times New Roman" w:cs="Times New Roman"/>
                <w:color w:val="000000"/>
                <w:sz w:val="24"/>
                <w:szCs w:val="24"/>
              </w:rPr>
              <w:t>./2</w:t>
            </w:r>
            <w:r w:rsidR="00903C40" w:rsidRPr="001E2B7E">
              <w:rPr>
                <w:rFonts w:ascii="Times New Roman" w:eastAsia="Times New Roman" w:hAnsi="Times New Roman" w:cs="Times New Roman"/>
                <w:color w:val="000000"/>
                <w:sz w:val="24"/>
                <w:szCs w:val="24"/>
              </w:rPr>
              <w:t>5</w:t>
            </w:r>
            <w:r w:rsidRPr="001E2B7E">
              <w:rPr>
                <w:rFonts w:ascii="Times New Roman" w:eastAsia="Times New Roman" w:hAnsi="Times New Roman" w:cs="Times New Roman"/>
                <w:color w:val="000000"/>
                <w:sz w:val="24"/>
                <w:szCs w:val="24"/>
              </w:rPr>
              <w:t>.</w:t>
            </w:r>
          </w:p>
        </w:tc>
      </w:tr>
      <w:tr w:rsidR="005B7137" w:rsidRPr="001E2B7E" w14:paraId="0169B732" w14:textId="77777777" w:rsidTr="005B7137">
        <w:trPr>
          <w:trHeight w:val="450"/>
        </w:trPr>
        <w:tc>
          <w:tcPr>
            <w:tcW w:w="1881" w:type="dxa"/>
            <w:vMerge/>
            <w:tcBorders>
              <w:top w:val="single" w:sz="8" w:space="0" w:color="auto"/>
              <w:left w:val="single" w:sz="8" w:space="0" w:color="auto"/>
              <w:bottom w:val="single" w:sz="8" w:space="0" w:color="000000"/>
              <w:right w:val="single" w:sz="8" w:space="0" w:color="auto"/>
            </w:tcBorders>
            <w:vAlign w:val="center"/>
            <w:hideMark/>
          </w:tcPr>
          <w:p w14:paraId="0DCEE301" w14:textId="77777777" w:rsidR="005B7137" w:rsidRPr="001E2B7E" w:rsidRDefault="005B7137" w:rsidP="00351FDD">
            <w:pPr>
              <w:spacing w:after="0" w:line="240" w:lineRule="auto"/>
              <w:rPr>
                <w:rFonts w:ascii="Times New Roman" w:eastAsia="Times New Roman" w:hAnsi="Times New Roman" w:cs="Times New Roman"/>
                <w:color w:val="000000"/>
                <w:sz w:val="24"/>
                <w:szCs w:val="24"/>
              </w:rPr>
            </w:pPr>
          </w:p>
        </w:tc>
        <w:tc>
          <w:tcPr>
            <w:tcW w:w="1245" w:type="dxa"/>
            <w:vMerge/>
            <w:tcBorders>
              <w:top w:val="single" w:sz="8" w:space="0" w:color="auto"/>
              <w:left w:val="single" w:sz="8" w:space="0" w:color="auto"/>
              <w:bottom w:val="single" w:sz="8" w:space="0" w:color="000000"/>
              <w:right w:val="single" w:sz="8" w:space="0" w:color="auto"/>
            </w:tcBorders>
            <w:vAlign w:val="center"/>
            <w:hideMark/>
          </w:tcPr>
          <w:p w14:paraId="54E75D6D" w14:textId="77777777" w:rsidR="005B7137" w:rsidRPr="001E2B7E" w:rsidRDefault="005B7137" w:rsidP="00351FDD">
            <w:pPr>
              <w:spacing w:after="0" w:line="240" w:lineRule="auto"/>
              <w:rPr>
                <w:rFonts w:ascii="Times New Roman" w:eastAsia="Times New Roman" w:hAnsi="Times New Roman" w:cs="Times New Roman"/>
                <w:color w:val="000000"/>
                <w:sz w:val="24"/>
                <w:szCs w:val="24"/>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4AF8040D" w14:textId="77777777" w:rsidR="005B7137" w:rsidRPr="001E2B7E" w:rsidRDefault="005B7137" w:rsidP="00351FDD">
            <w:pPr>
              <w:spacing w:after="0" w:line="240" w:lineRule="auto"/>
              <w:rPr>
                <w:rFonts w:ascii="Times New Roman" w:eastAsia="Times New Roman" w:hAnsi="Times New Roman" w:cs="Times New Roman"/>
                <w:color w:val="000000"/>
                <w:sz w:val="24"/>
                <w:szCs w:val="24"/>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27C03E51" w14:textId="77777777" w:rsidR="005B7137" w:rsidRPr="001E2B7E" w:rsidRDefault="005B7137" w:rsidP="00351FDD">
            <w:pPr>
              <w:spacing w:after="0" w:line="240" w:lineRule="auto"/>
              <w:rPr>
                <w:rFonts w:ascii="Times New Roman" w:eastAsia="Times New Roman" w:hAnsi="Times New Roman" w:cs="Times New Roman"/>
                <w:color w:val="000000"/>
                <w:sz w:val="24"/>
                <w:szCs w:val="24"/>
              </w:rPr>
            </w:pPr>
          </w:p>
        </w:tc>
        <w:tc>
          <w:tcPr>
            <w:tcW w:w="1205" w:type="dxa"/>
            <w:vMerge/>
            <w:tcBorders>
              <w:top w:val="single" w:sz="8" w:space="0" w:color="auto"/>
              <w:left w:val="single" w:sz="8" w:space="0" w:color="auto"/>
              <w:bottom w:val="single" w:sz="8" w:space="0" w:color="000000"/>
              <w:right w:val="single" w:sz="8" w:space="0" w:color="auto"/>
            </w:tcBorders>
            <w:vAlign w:val="center"/>
            <w:hideMark/>
          </w:tcPr>
          <w:p w14:paraId="152369DE" w14:textId="77777777" w:rsidR="005B7137" w:rsidRPr="001E2B7E" w:rsidRDefault="005B7137" w:rsidP="00351FDD">
            <w:pPr>
              <w:spacing w:after="0" w:line="240" w:lineRule="auto"/>
              <w:rPr>
                <w:rFonts w:ascii="Times New Roman" w:eastAsia="Times New Roman" w:hAnsi="Times New Roman" w:cs="Times New Roman"/>
                <w:color w:val="000000"/>
                <w:sz w:val="24"/>
                <w:szCs w:val="24"/>
              </w:rPr>
            </w:pP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0AA12538" w14:textId="77777777" w:rsidR="005B7137" w:rsidRPr="001E2B7E" w:rsidRDefault="005B7137" w:rsidP="00351FDD">
            <w:pPr>
              <w:spacing w:after="0" w:line="240" w:lineRule="auto"/>
              <w:rPr>
                <w:rFonts w:ascii="Times New Roman" w:eastAsia="Times New Roman" w:hAnsi="Times New Roman" w:cs="Times New Roman"/>
                <w:color w:val="000000"/>
                <w:sz w:val="24"/>
                <w:szCs w:val="24"/>
              </w:rPr>
            </w:pPr>
          </w:p>
        </w:tc>
        <w:tc>
          <w:tcPr>
            <w:tcW w:w="947" w:type="dxa"/>
            <w:vMerge/>
            <w:tcBorders>
              <w:top w:val="single" w:sz="8" w:space="0" w:color="auto"/>
              <w:left w:val="single" w:sz="8" w:space="0" w:color="auto"/>
              <w:bottom w:val="single" w:sz="8" w:space="0" w:color="000000"/>
              <w:right w:val="single" w:sz="8" w:space="0" w:color="auto"/>
            </w:tcBorders>
            <w:vAlign w:val="center"/>
            <w:hideMark/>
          </w:tcPr>
          <w:p w14:paraId="631D9854" w14:textId="77777777" w:rsidR="005B7137" w:rsidRPr="001E2B7E" w:rsidRDefault="005B7137" w:rsidP="00351FDD">
            <w:pPr>
              <w:spacing w:after="0" w:line="240" w:lineRule="auto"/>
              <w:rPr>
                <w:rFonts w:ascii="Times New Roman" w:eastAsia="Times New Roman" w:hAnsi="Times New Roman" w:cs="Times New Roman"/>
                <w:color w:val="000000"/>
                <w:sz w:val="24"/>
                <w:szCs w:val="24"/>
              </w:rPr>
            </w:pPr>
          </w:p>
        </w:tc>
      </w:tr>
      <w:tr w:rsidR="005B7137" w:rsidRPr="001E2B7E" w14:paraId="27BDC6B8" w14:textId="77777777" w:rsidTr="005B7137">
        <w:trPr>
          <w:trHeight w:val="315"/>
        </w:trPr>
        <w:tc>
          <w:tcPr>
            <w:tcW w:w="1881" w:type="dxa"/>
            <w:tcBorders>
              <w:top w:val="nil"/>
              <w:left w:val="single" w:sz="8" w:space="0" w:color="auto"/>
              <w:bottom w:val="nil"/>
              <w:right w:val="single" w:sz="8" w:space="0" w:color="auto"/>
            </w:tcBorders>
            <w:vAlign w:val="center"/>
            <w:hideMark/>
          </w:tcPr>
          <w:p w14:paraId="4FA5A320" w14:textId="6A0A901C" w:rsidR="005B7137" w:rsidRPr="001E2B7E" w:rsidRDefault="005B7137" w:rsidP="00351FDD">
            <w:pPr>
              <w:spacing w:after="0" w:line="240" w:lineRule="auto"/>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A</w:t>
            </w:r>
            <w:r w:rsidR="00041714">
              <w:rPr>
                <w:rFonts w:ascii="Times New Roman" w:eastAsia="Times New Roman" w:hAnsi="Times New Roman" w:cs="Times New Roman"/>
                <w:color w:val="000000"/>
                <w:sz w:val="24"/>
                <w:szCs w:val="24"/>
              </w:rPr>
              <w:t>679135</w:t>
            </w:r>
          </w:p>
        </w:tc>
        <w:tc>
          <w:tcPr>
            <w:tcW w:w="1245" w:type="dxa"/>
            <w:tcBorders>
              <w:top w:val="nil"/>
              <w:left w:val="nil"/>
              <w:bottom w:val="nil"/>
              <w:right w:val="single" w:sz="8" w:space="0" w:color="auto"/>
            </w:tcBorders>
            <w:vAlign w:val="center"/>
            <w:hideMark/>
          </w:tcPr>
          <w:p w14:paraId="206FD1AE" w14:textId="77777777" w:rsidR="005B7137" w:rsidRPr="001E2B7E" w:rsidRDefault="005B7137"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176" w:type="dxa"/>
            <w:tcBorders>
              <w:top w:val="nil"/>
              <w:left w:val="nil"/>
              <w:bottom w:val="nil"/>
              <w:right w:val="single" w:sz="8" w:space="0" w:color="auto"/>
            </w:tcBorders>
            <w:vAlign w:val="center"/>
            <w:hideMark/>
          </w:tcPr>
          <w:p w14:paraId="7CCBB0FC" w14:textId="77777777" w:rsidR="005B7137" w:rsidRPr="001E2B7E" w:rsidRDefault="005B7137"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176" w:type="dxa"/>
            <w:tcBorders>
              <w:top w:val="nil"/>
              <w:left w:val="nil"/>
              <w:bottom w:val="nil"/>
              <w:right w:val="single" w:sz="8" w:space="0" w:color="auto"/>
            </w:tcBorders>
            <w:vAlign w:val="center"/>
            <w:hideMark/>
          </w:tcPr>
          <w:p w14:paraId="2D51BD44" w14:textId="77777777" w:rsidR="005B7137" w:rsidRPr="001E2B7E" w:rsidRDefault="005B7137"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205" w:type="dxa"/>
            <w:tcBorders>
              <w:top w:val="nil"/>
              <w:left w:val="nil"/>
              <w:bottom w:val="nil"/>
              <w:right w:val="single" w:sz="8" w:space="0" w:color="auto"/>
            </w:tcBorders>
            <w:vAlign w:val="center"/>
            <w:hideMark/>
          </w:tcPr>
          <w:p w14:paraId="33D6AE26" w14:textId="77777777" w:rsidR="005B7137" w:rsidRPr="001E2B7E" w:rsidRDefault="005B7137"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190" w:type="dxa"/>
            <w:tcBorders>
              <w:top w:val="nil"/>
              <w:left w:val="nil"/>
              <w:bottom w:val="nil"/>
              <w:right w:val="single" w:sz="8" w:space="0" w:color="auto"/>
            </w:tcBorders>
            <w:vAlign w:val="center"/>
            <w:hideMark/>
          </w:tcPr>
          <w:p w14:paraId="4DE3B67B" w14:textId="77777777" w:rsidR="005B7137" w:rsidRPr="001E2B7E" w:rsidRDefault="005B7137"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947" w:type="dxa"/>
            <w:tcBorders>
              <w:top w:val="nil"/>
              <w:left w:val="nil"/>
              <w:bottom w:val="nil"/>
              <w:right w:val="single" w:sz="8" w:space="0" w:color="auto"/>
            </w:tcBorders>
            <w:vAlign w:val="center"/>
            <w:hideMark/>
          </w:tcPr>
          <w:p w14:paraId="33DC5BE2" w14:textId="77777777" w:rsidR="005B7137" w:rsidRPr="001E2B7E" w:rsidRDefault="005B7137"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r>
      <w:tr w:rsidR="00E33720" w:rsidRPr="001E2B7E" w14:paraId="22935FF8" w14:textId="77777777" w:rsidTr="005875F0">
        <w:trPr>
          <w:trHeight w:val="330"/>
        </w:trPr>
        <w:tc>
          <w:tcPr>
            <w:tcW w:w="1881" w:type="dxa"/>
            <w:tcBorders>
              <w:top w:val="nil"/>
              <w:left w:val="single" w:sz="8" w:space="0" w:color="auto"/>
              <w:bottom w:val="single" w:sz="8" w:space="0" w:color="auto"/>
              <w:right w:val="single" w:sz="8" w:space="0" w:color="auto"/>
            </w:tcBorders>
            <w:vAlign w:val="center"/>
            <w:hideMark/>
          </w:tcPr>
          <w:p w14:paraId="367D3D9D" w14:textId="77777777" w:rsidR="00E33720" w:rsidRPr="001E2B7E" w:rsidRDefault="00E33720" w:rsidP="00E33720">
            <w:pPr>
              <w:spacing w:after="0" w:line="240" w:lineRule="auto"/>
              <w:ind w:firstLineChars="500" w:firstLine="1200"/>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245" w:type="dxa"/>
            <w:tcBorders>
              <w:top w:val="nil"/>
              <w:left w:val="nil"/>
              <w:bottom w:val="single" w:sz="8" w:space="0" w:color="auto"/>
              <w:right w:val="single" w:sz="8" w:space="0" w:color="auto"/>
            </w:tcBorders>
            <w:hideMark/>
          </w:tcPr>
          <w:p w14:paraId="7DB16F6C" w14:textId="04AE9002" w:rsidR="00E33720" w:rsidRPr="001E2B7E" w:rsidRDefault="00E33720" w:rsidP="00E33720">
            <w:pPr>
              <w:spacing w:after="0" w:line="240" w:lineRule="auto"/>
              <w:jc w:val="both"/>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1.467.728</w:t>
            </w:r>
          </w:p>
        </w:tc>
        <w:tc>
          <w:tcPr>
            <w:tcW w:w="1176" w:type="dxa"/>
            <w:tcBorders>
              <w:top w:val="nil"/>
              <w:left w:val="nil"/>
              <w:bottom w:val="single" w:sz="8" w:space="0" w:color="auto"/>
              <w:right w:val="single" w:sz="8" w:space="0" w:color="auto"/>
            </w:tcBorders>
            <w:hideMark/>
          </w:tcPr>
          <w:p w14:paraId="1B0C75B4" w14:textId="5B99BC23" w:rsidR="00E33720" w:rsidRPr="001E2B7E" w:rsidRDefault="00E33720" w:rsidP="00E33720">
            <w:pPr>
              <w:spacing w:after="0" w:line="240" w:lineRule="auto"/>
              <w:jc w:val="both"/>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2.030.639</w:t>
            </w:r>
          </w:p>
        </w:tc>
        <w:tc>
          <w:tcPr>
            <w:tcW w:w="1176" w:type="dxa"/>
            <w:tcBorders>
              <w:top w:val="nil"/>
              <w:left w:val="nil"/>
              <w:bottom w:val="single" w:sz="8" w:space="0" w:color="auto"/>
              <w:right w:val="single" w:sz="8" w:space="0" w:color="auto"/>
            </w:tcBorders>
            <w:hideMark/>
          </w:tcPr>
          <w:p w14:paraId="480C2A6B" w14:textId="51C2365E" w:rsidR="00E33720" w:rsidRPr="001E2B7E" w:rsidRDefault="00E33720" w:rsidP="00E33720">
            <w:pPr>
              <w:spacing w:after="0" w:line="240" w:lineRule="auto"/>
              <w:jc w:val="both"/>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2.037.084</w:t>
            </w:r>
          </w:p>
        </w:tc>
        <w:tc>
          <w:tcPr>
            <w:tcW w:w="1205" w:type="dxa"/>
            <w:tcBorders>
              <w:top w:val="nil"/>
              <w:left w:val="nil"/>
              <w:bottom w:val="single" w:sz="8" w:space="0" w:color="auto"/>
              <w:right w:val="single" w:sz="8" w:space="0" w:color="auto"/>
            </w:tcBorders>
            <w:hideMark/>
          </w:tcPr>
          <w:p w14:paraId="15C43546" w14:textId="50AA9643" w:rsidR="00E33720" w:rsidRPr="001E2B7E" w:rsidRDefault="00E33720" w:rsidP="00E33720">
            <w:pPr>
              <w:spacing w:after="0" w:line="240" w:lineRule="auto"/>
              <w:jc w:val="both"/>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2.138.337</w:t>
            </w:r>
          </w:p>
        </w:tc>
        <w:tc>
          <w:tcPr>
            <w:tcW w:w="1190" w:type="dxa"/>
            <w:tcBorders>
              <w:top w:val="nil"/>
              <w:left w:val="nil"/>
              <w:bottom w:val="single" w:sz="8" w:space="0" w:color="auto"/>
              <w:right w:val="single" w:sz="8" w:space="0" w:color="auto"/>
            </w:tcBorders>
            <w:hideMark/>
          </w:tcPr>
          <w:p w14:paraId="233C6F36" w14:textId="0B2096E9" w:rsidR="00E33720" w:rsidRPr="001E2B7E" w:rsidRDefault="00E33720" w:rsidP="00E33720">
            <w:pPr>
              <w:spacing w:after="0" w:line="240" w:lineRule="auto"/>
              <w:jc w:val="both"/>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2.178.937</w:t>
            </w:r>
          </w:p>
        </w:tc>
        <w:tc>
          <w:tcPr>
            <w:tcW w:w="947" w:type="dxa"/>
            <w:tcBorders>
              <w:top w:val="nil"/>
              <w:left w:val="nil"/>
              <w:bottom w:val="single" w:sz="8" w:space="0" w:color="auto"/>
              <w:right w:val="single" w:sz="8" w:space="0" w:color="auto"/>
            </w:tcBorders>
            <w:vAlign w:val="center"/>
            <w:hideMark/>
          </w:tcPr>
          <w:p w14:paraId="6083279B" w14:textId="4125CE72" w:rsidR="00E33720" w:rsidRPr="001E2B7E" w:rsidRDefault="00E33720" w:rsidP="00E33720">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100,32</w:t>
            </w:r>
          </w:p>
        </w:tc>
      </w:tr>
    </w:tbl>
    <w:p w14:paraId="0AD56DD6" w14:textId="77777777" w:rsidR="009024AF" w:rsidRPr="001E2B7E" w:rsidRDefault="009024AF" w:rsidP="00351FDD">
      <w:pPr>
        <w:spacing w:line="240" w:lineRule="auto"/>
        <w:jc w:val="both"/>
        <w:rPr>
          <w:rFonts w:ascii="Times New Roman" w:hAnsi="Times New Roman" w:cs="Times New Roman"/>
          <w:sz w:val="24"/>
          <w:szCs w:val="24"/>
        </w:rPr>
      </w:pPr>
    </w:p>
    <w:p w14:paraId="2613DB71" w14:textId="20E7089A" w:rsidR="00214CD7" w:rsidRPr="001E2B7E" w:rsidRDefault="00214CD7" w:rsidP="00351FDD">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Na izvoru 43 Ostali prihodi za posebne namjene odnose se na prihode od školarina za sveučilišni integrirani prijediplomski i diplomski studij, prihode od poslijediplomskog doktorskog studija te na prihode od školarina od poslijediplomskih specijalističkih studija.</w:t>
      </w:r>
      <w:r w:rsidR="00E66BA7" w:rsidRPr="001E2B7E">
        <w:rPr>
          <w:rFonts w:ascii="Times New Roman" w:hAnsi="Times New Roman" w:cs="Times New Roman"/>
          <w:sz w:val="24"/>
          <w:szCs w:val="24"/>
        </w:rPr>
        <w:t xml:space="preserve"> </w:t>
      </w:r>
      <w:r w:rsidRPr="001E2B7E">
        <w:rPr>
          <w:rFonts w:ascii="Times New Roman" w:hAnsi="Times New Roman" w:cs="Times New Roman"/>
          <w:sz w:val="24"/>
          <w:szCs w:val="24"/>
        </w:rPr>
        <w:t xml:space="preserve">Najveći dio prihoda odnosi se na studij veterinarske medicine na engleskom jeziku. Od navedenih prihoda najveći dio se koristi za podmirivanje vanjske suradnje, rashoda za zaposlene te osiguranje potrebne opreme potrebne za provođenje studija, pokrivanje materijalnih troškova, tekuće investicijsko održavanje i ostalih aktivnosti potrebnih za normalno funkcioniranje rada </w:t>
      </w:r>
      <w:r w:rsidR="003549D3" w:rsidRPr="001E2B7E">
        <w:rPr>
          <w:rFonts w:ascii="Times New Roman" w:hAnsi="Times New Roman" w:cs="Times New Roman"/>
          <w:sz w:val="24"/>
          <w:szCs w:val="24"/>
        </w:rPr>
        <w:t>Veterinarskog f</w:t>
      </w:r>
      <w:r w:rsidRPr="001E2B7E">
        <w:rPr>
          <w:rFonts w:ascii="Times New Roman" w:hAnsi="Times New Roman" w:cs="Times New Roman"/>
          <w:sz w:val="24"/>
          <w:szCs w:val="24"/>
        </w:rPr>
        <w:t xml:space="preserve">akulteta.  </w:t>
      </w:r>
    </w:p>
    <w:p w14:paraId="05466028" w14:textId="77777777" w:rsidR="00993503" w:rsidRPr="001E2B7E" w:rsidRDefault="00993503" w:rsidP="00351FDD">
      <w:pPr>
        <w:spacing w:before="100" w:beforeAutospacing="1" w:after="100" w:afterAutospacing="1" w:line="240" w:lineRule="auto"/>
        <w:rPr>
          <w:rFonts w:ascii="Times New Roman" w:hAnsi="Times New Roman" w:cs="Times New Roman"/>
          <w:i/>
          <w:color w:val="000000"/>
          <w:sz w:val="24"/>
          <w:szCs w:val="24"/>
        </w:rPr>
      </w:pPr>
      <w:r w:rsidRPr="001E2B7E">
        <w:rPr>
          <w:rFonts w:ascii="Times New Roman" w:hAnsi="Times New Roman" w:cs="Times New Roman"/>
          <w:i/>
          <w:sz w:val="24"/>
          <w:szCs w:val="24"/>
        </w:rPr>
        <w:t>Ishodište i pokazatelji na kojima se zasnivaju izračuni – Prihodi za posebne namjene</w:t>
      </w:r>
    </w:p>
    <w:p w14:paraId="77E3A257" w14:textId="33CFCF66" w:rsidR="00993503" w:rsidRPr="001E2B7E" w:rsidRDefault="00993503" w:rsidP="00351FDD">
      <w:pPr>
        <w:spacing w:before="100" w:beforeAutospacing="1" w:after="100" w:afterAutospacing="1" w:line="240" w:lineRule="auto"/>
        <w:jc w:val="both"/>
        <w:rPr>
          <w:rFonts w:ascii="Times New Roman" w:hAnsi="Times New Roman" w:cs="Times New Roman"/>
          <w:i/>
          <w:color w:val="000000"/>
          <w:sz w:val="24"/>
          <w:szCs w:val="24"/>
        </w:rPr>
      </w:pPr>
      <w:r w:rsidRPr="001E2B7E">
        <w:rPr>
          <w:rFonts w:ascii="Times New Roman" w:hAnsi="Times New Roman" w:cs="Times New Roman"/>
          <w:i/>
          <w:color w:val="000000"/>
          <w:sz w:val="24"/>
          <w:szCs w:val="24"/>
        </w:rPr>
        <w:t>Prihodi od</w:t>
      </w:r>
      <w:r w:rsidRPr="001E2B7E">
        <w:rPr>
          <w:rFonts w:ascii="Times New Roman" w:hAnsi="Times New Roman" w:cs="Times New Roman"/>
          <w:i/>
          <w:sz w:val="24"/>
          <w:szCs w:val="24"/>
        </w:rPr>
        <w:t xml:space="preserve"> sufinanciranja cijene participacije školarina</w:t>
      </w:r>
      <w:r w:rsidR="00044865" w:rsidRPr="001E2B7E">
        <w:rPr>
          <w:rFonts w:ascii="Times New Roman" w:hAnsi="Times New Roman" w:cs="Times New Roman"/>
          <w:i/>
          <w:color w:val="000000"/>
          <w:sz w:val="24"/>
          <w:szCs w:val="24"/>
        </w:rPr>
        <w:t xml:space="preserve"> u za 202</w:t>
      </w:r>
      <w:r w:rsidR="00F5663D" w:rsidRPr="001E2B7E">
        <w:rPr>
          <w:rFonts w:ascii="Times New Roman" w:hAnsi="Times New Roman" w:cs="Times New Roman"/>
          <w:i/>
          <w:color w:val="000000"/>
          <w:sz w:val="24"/>
          <w:szCs w:val="24"/>
        </w:rPr>
        <w:t>6</w:t>
      </w:r>
      <w:r w:rsidR="00044865" w:rsidRPr="001E2B7E">
        <w:rPr>
          <w:rFonts w:ascii="Times New Roman" w:hAnsi="Times New Roman" w:cs="Times New Roman"/>
          <w:i/>
          <w:color w:val="000000"/>
          <w:sz w:val="24"/>
          <w:szCs w:val="24"/>
        </w:rPr>
        <w:t xml:space="preserve">. godinu iznosu od </w:t>
      </w:r>
      <w:r w:rsidR="00F5663D" w:rsidRPr="001E2B7E">
        <w:rPr>
          <w:rFonts w:ascii="Times New Roman" w:hAnsi="Times New Roman" w:cs="Times New Roman"/>
          <w:i/>
          <w:color w:val="000000"/>
          <w:sz w:val="24"/>
          <w:szCs w:val="24"/>
        </w:rPr>
        <w:t xml:space="preserve">2.037.084 </w:t>
      </w:r>
      <w:r w:rsidR="00993533" w:rsidRPr="001E2B7E">
        <w:rPr>
          <w:rFonts w:ascii="Times New Roman" w:hAnsi="Times New Roman" w:cs="Times New Roman"/>
          <w:i/>
          <w:color w:val="000000"/>
          <w:sz w:val="24"/>
          <w:szCs w:val="24"/>
        </w:rPr>
        <w:t>eura</w:t>
      </w:r>
      <w:r w:rsidRPr="001E2B7E">
        <w:rPr>
          <w:rFonts w:ascii="Times New Roman" w:hAnsi="Times New Roman" w:cs="Times New Roman"/>
          <w:i/>
          <w:color w:val="000000"/>
          <w:sz w:val="24"/>
          <w:szCs w:val="24"/>
        </w:rPr>
        <w:t xml:space="preserve"> planirani temeljem procjene broja upisa studenta u I do V</w:t>
      </w:r>
      <w:r w:rsidR="00A02624" w:rsidRPr="001E2B7E">
        <w:rPr>
          <w:rFonts w:ascii="Times New Roman" w:hAnsi="Times New Roman" w:cs="Times New Roman"/>
          <w:i/>
          <w:color w:val="000000"/>
          <w:sz w:val="24"/>
          <w:szCs w:val="24"/>
        </w:rPr>
        <w:t>I</w:t>
      </w:r>
      <w:r w:rsidRPr="001E2B7E">
        <w:rPr>
          <w:rFonts w:ascii="Times New Roman" w:hAnsi="Times New Roman" w:cs="Times New Roman"/>
          <w:i/>
          <w:color w:val="000000"/>
          <w:sz w:val="24"/>
          <w:szCs w:val="24"/>
        </w:rPr>
        <w:t xml:space="preserve"> godinu studija na engleskom jeziku</w:t>
      </w:r>
      <w:r w:rsidR="003549D3" w:rsidRPr="001E2B7E">
        <w:rPr>
          <w:rFonts w:ascii="Times New Roman" w:hAnsi="Times New Roman" w:cs="Times New Roman"/>
          <w:i/>
          <w:color w:val="000000"/>
          <w:sz w:val="24"/>
          <w:szCs w:val="24"/>
        </w:rPr>
        <w:t xml:space="preserve">, </w:t>
      </w:r>
      <w:r w:rsidRPr="001E2B7E">
        <w:rPr>
          <w:rFonts w:ascii="Times New Roman" w:hAnsi="Times New Roman" w:cs="Times New Roman"/>
          <w:i/>
          <w:color w:val="000000"/>
          <w:sz w:val="24"/>
          <w:szCs w:val="24"/>
        </w:rPr>
        <w:t>učešća redovitih studenata u participacijama na bazi prosjeka prethodne godine</w:t>
      </w:r>
      <w:r w:rsidR="003549D3" w:rsidRPr="001E2B7E">
        <w:rPr>
          <w:rFonts w:ascii="Times New Roman" w:hAnsi="Times New Roman" w:cs="Times New Roman"/>
          <w:i/>
          <w:color w:val="000000"/>
          <w:sz w:val="24"/>
          <w:szCs w:val="24"/>
        </w:rPr>
        <w:t xml:space="preserve"> te prema broju upisanih polaznika poslijediplomskih specijalističkih studija.</w:t>
      </w:r>
      <w:r w:rsidRPr="001E2B7E">
        <w:rPr>
          <w:rFonts w:ascii="Times New Roman" w:hAnsi="Times New Roman" w:cs="Times New Roman"/>
          <w:i/>
          <w:color w:val="000000"/>
          <w:sz w:val="24"/>
          <w:szCs w:val="24"/>
        </w:rPr>
        <w:t xml:space="preserve"> </w:t>
      </w:r>
      <w:r w:rsidR="00993533" w:rsidRPr="001E2B7E">
        <w:rPr>
          <w:rFonts w:ascii="Times New Roman" w:hAnsi="Times New Roman" w:cs="Times New Roman"/>
          <w:i/>
          <w:color w:val="000000"/>
          <w:sz w:val="24"/>
          <w:szCs w:val="24"/>
        </w:rPr>
        <w:t xml:space="preserve">Prihodi za posebne namjene su planirani za pokriće troškova održavanja nastave na engleskom studiju kao i pokrića dijela troškova održavanja opreme i zgrada. </w:t>
      </w:r>
    </w:p>
    <w:p w14:paraId="489A20CA" w14:textId="77777777" w:rsidR="00E66BA7" w:rsidRPr="001E2B7E" w:rsidRDefault="00E66BA7" w:rsidP="00351FDD">
      <w:pPr>
        <w:spacing w:line="240" w:lineRule="auto"/>
        <w:ind w:left="720"/>
        <w:jc w:val="both"/>
        <w:rPr>
          <w:rFonts w:ascii="Times New Roman" w:hAnsi="Times New Roman" w:cs="Times New Roman"/>
          <w:sz w:val="24"/>
          <w:szCs w:val="24"/>
        </w:rPr>
      </w:pPr>
    </w:p>
    <w:p w14:paraId="72D7CC34" w14:textId="3DE1E507" w:rsidR="00BE2B24" w:rsidRPr="001E2B7E" w:rsidRDefault="00927915" w:rsidP="00351FDD">
      <w:pPr>
        <w:spacing w:line="240" w:lineRule="auto"/>
        <w:ind w:left="720"/>
        <w:jc w:val="both"/>
        <w:rPr>
          <w:rFonts w:ascii="Times New Roman" w:hAnsi="Times New Roman" w:cs="Times New Roman"/>
          <w:sz w:val="24"/>
          <w:szCs w:val="24"/>
        </w:rPr>
      </w:pPr>
      <w:r w:rsidRPr="001E2B7E">
        <w:rPr>
          <w:rFonts w:ascii="Times New Roman" w:hAnsi="Times New Roman" w:cs="Times New Roman"/>
          <w:sz w:val="24"/>
          <w:szCs w:val="24"/>
        </w:rPr>
        <w:t>1.3</w:t>
      </w:r>
      <w:r w:rsidR="00BE2B24" w:rsidRPr="001E2B7E">
        <w:rPr>
          <w:rFonts w:ascii="Times New Roman" w:hAnsi="Times New Roman" w:cs="Times New Roman"/>
          <w:sz w:val="24"/>
          <w:szCs w:val="24"/>
        </w:rPr>
        <w:t xml:space="preserve">. Obrazloženje programa- </w:t>
      </w:r>
      <w:r w:rsidR="00DF41E2" w:rsidRPr="001E2B7E">
        <w:rPr>
          <w:rFonts w:ascii="Times New Roman" w:hAnsi="Times New Roman" w:cs="Times New Roman"/>
          <w:sz w:val="24"/>
          <w:szCs w:val="24"/>
        </w:rPr>
        <w:t>Pomoći iz državnog proračuna</w:t>
      </w:r>
      <w:r w:rsidRPr="001E2B7E">
        <w:rPr>
          <w:rFonts w:ascii="Times New Roman" w:hAnsi="Times New Roman" w:cs="Times New Roman"/>
          <w:sz w:val="24"/>
          <w:szCs w:val="24"/>
        </w:rPr>
        <w:t xml:space="preserve"> – izvor 5</w:t>
      </w:r>
      <w:r w:rsidR="00DF41E2" w:rsidRPr="001E2B7E">
        <w:rPr>
          <w:rFonts w:ascii="Times New Roman" w:hAnsi="Times New Roman" w:cs="Times New Roman"/>
          <w:sz w:val="24"/>
          <w:szCs w:val="24"/>
        </w:rPr>
        <w:t>0</w:t>
      </w:r>
    </w:p>
    <w:tbl>
      <w:tblPr>
        <w:tblW w:w="8820" w:type="dxa"/>
        <w:tblLook w:val="04A0" w:firstRow="1" w:lastRow="0" w:firstColumn="1" w:lastColumn="0" w:noHBand="0" w:noVBand="1"/>
      </w:tblPr>
      <w:tblGrid>
        <w:gridCol w:w="1938"/>
        <w:gridCol w:w="1255"/>
        <w:gridCol w:w="1137"/>
        <w:gridCol w:w="1120"/>
        <w:gridCol w:w="1214"/>
        <w:gridCol w:w="1190"/>
        <w:gridCol w:w="966"/>
      </w:tblGrid>
      <w:tr w:rsidR="003F1246" w:rsidRPr="001E2B7E" w14:paraId="14C4AF73" w14:textId="77777777" w:rsidTr="003F1246">
        <w:trPr>
          <w:trHeight w:val="450"/>
        </w:trPr>
        <w:tc>
          <w:tcPr>
            <w:tcW w:w="1938"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5BC1D69B" w14:textId="77777777" w:rsidR="003F1246" w:rsidRPr="001E2B7E" w:rsidRDefault="003F1246"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255"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3652F1EB" w14:textId="12D8C18D" w:rsidR="003F1246" w:rsidRPr="001E2B7E" w:rsidRDefault="003F1246"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Izvršenje 202</w:t>
            </w:r>
            <w:r w:rsidR="00DF41E2" w:rsidRPr="001E2B7E">
              <w:rPr>
                <w:rFonts w:ascii="Times New Roman" w:eastAsia="Times New Roman" w:hAnsi="Times New Roman" w:cs="Times New Roman"/>
                <w:color w:val="000000"/>
                <w:sz w:val="24"/>
                <w:szCs w:val="24"/>
              </w:rPr>
              <w:t>4</w:t>
            </w:r>
            <w:r w:rsidRPr="001E2B7E">
              <w:rPr>
                <w:rFonts w:ascii="Times New Roman" w:eastAsia="Times New Roman" w:hAnsi="Times New Roman" w:cs="Times New Roman"/>
                <w:color w:val="000000"/>
                <w:sz w:val="24"/>
                <w:szCs w:val="24"/>
              </w:rPr>
              <w:t>.</w:t>
            </w:r>
          </w:p>
        </w:tc>
        <w:tc>
          <w:tcPr>
            <w:tcW w:w="1137"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271796A5" w14:textId="4FC3D89C" w:rsidR="003F1246" w:rsidRPr="001E2B7E" w:rsidRDefault="003F1246"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Plan 202</w:t>
            </w:r>
            <w:r w:rsidR="00DF41E2" w:rsidRPr="001E2B7E">
              <w:rPr>
                <w:rFonts w:ascii="Times New Roman" w:eastAsia="Times New Roman" w:hAnsi="Times New Roman" w:cs="Times New Roman"/>
                <w:color w:val="000000"/>
                <w:sz w:val="24"/>
                <w:szCs w:val="24"/>
              </w:rPr>
              <w:t>5</w:t>
            </w:r>
            <w:r w:rsidRPr="001E2B7E">
              <w:rPr>
                <w:rFonts w:ascii="Times New Roman" w:eastAsia="Times New Roman" w:hAnsi="Times New Roman" w:cs="Times New Roman"/>
                <w:color w:val="000000"/>
                <w:sz w:val="24"/>
                <w:szCs w:val="24"/>
              </w:rPr>
              <w:t>.</w:t>
            </w:r>
          </w:p>
        </w:tc>
        <w:tc>
          <w:tcPr>
            <w:tcW w:w="112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4EFAFC5A" w14:textId="37FC936F" w:rsidR="003F1246" w:rsidRPr="001E2B7E" w:rsidRDefault="003F1246"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Plan 202</w:t>
            </w:r>
            <w:r w:rsidR="00DF41E2" w:rsidRPr="001E2B7E">
              <w:rPr>
                <w:rFonts w:ascii="Times New Roman" w:eastAsia="Times New Roman" w:hAnsi="Times New Roman" w:cs="Times New Roman"/>
                <w:color w:val="000000"/>
                <w:sz w:val="24"/>
                <w:szCs w:val="24"/>
              </w:rPr>
              <w:t>6</w:t>
            </w:r>
            <w:r w:rsidRPr="001E2B7E">
              <w:rPr>
                <w:rFonts w:ascii="Times New Roman" w:eastAsia="Times New Roman" w:hAnsi="Times New Roman" w:cs="Times New Roman"/>
                <w:color w:val="000000"/>
                <w:sz w:val="24"/>
                <w:szCs w:val="24"/>
              </w:rPr>
              <w:t>.</w:t>
            </w:r>
          </w:p>
        </w:tc>
        <w:tc>
          <w:tcPr>
            <w:tcW w:w="1214"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DAFDC52" w14:textId="6F04DF91" w:rsidR="003F1246" w:rsidRPr="001E2B7E" w:rsidRDefault="003F1246"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Projekcija 202</w:t>
            </w:r>
            <w:r w:rsidR="00DF41E2" w:rsidRPr="001E2B7E">
              <w:rPr>
                <w:rFonts w:ascii="Times New Roman" w:eastAsia="Times New Roman" w:hAnsi="Times New Roman" w:cs="Times New Roman"/>
                <w:color w:val="000000"/>
                <w:sz w:val="24"/>
                <w:szCs w:val="24"/>
              </w:rPr>
              <w:t>7</w:t>
            </w:r>
            <w:r w:rsidRPr="001E2B7E">
              <w:rPr>
                <w:rFonts w:ascii="Times New Roman" w:eastAsia="Times New Roman" w:hAnsi="Times New Roman" w:cs="Times New Roman"/>
                <w:color w:val="000000"/>
                <w:sz w:val="24"/>
                <w:szCs w:val="24"/>
              </w:rPr>
              <w:t>.</w:t>
            </w:r>
          </w:p>
        </w:tc>
        <w:tc>
          <w:tcPr>
            <w:tcW w:w="119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2EA3DE2D" w14:textId="40E4493F" w:rsidR="003F1246" w:rsidRPr="001E2B7E" w:rsidRDefault="003F1246"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Projekcija 202</w:t>
            </w:r>
            <w:r w:rsidR="00DF41E2" w:rsidRPr="001E2B7E">
              <w:rPr>
                <w:rFonts w:ascii="Times New Roman" w:eastAsia="Times New Roman" w:hAnsi="Times New Roman" w:cs="Times New Roman"/>
                <w:color w:val="000000"/>
                <w:sz w:val="24"/>
                <w:szCs w:val="24"/>
              </w:rPr>
              <w:t>8</w:t>
            </w:r>
            <w:r w:rsidRPr="001E2B7E">
              <w:rPr>
                <w:rFonts w:ascii="Times New Roman" w:eastAsia="Times New Roman" w:hAnsi="Times New Roman" w:cs="Times New Roman"/>
                <w:color w:val="000000"/>
                <w:sz w:val="24"/>
                <w:szCs w:val="24"/>
              </w:rPr>
              <w:t>.</w:t>
            </w:r>
          </w:p>
        </w:tc>
        <w:tc>
          <w:tcPr>
            <w:tcW w:w="966"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5F8F3A83" w14:textId="0BAAD225" w:rsidR="003F1246" w:rsidRPr="001E2B7E" w:rsidRDefault="003F1246"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Indeks 2</w:t>
            </w:r>
            <w:r w:rsidR="00DF41E2" w:rsidRPr="001E2B7E">
              <w:rPr>
                <w:rFonts w:ascii="Times New Roman" w:eastAsia="Times New Roman" w:hAnsi="Times New Roman" w:cs="Times New Roman"/>
                <w:color w:val="000000"/>
                <w:sz w:val="24"/>
                <w:szCs w:val="24"/>
              </w:rPr>
              <w:t>6</w:t>
            </w:r>
            <w:r w:rsidRPr="001E2B7E">
              <w:rPr>
                <w:rFonts w:ascii="Times New Roman" w:eastAsia="Times New Roman" w:hAnsi="Times New Roman" w:cs="Times New Roman"/>
                <w:color w:val="000000"/>
                <w:sz w:val="24"/>
                <w:szCs w:val="24"/>
              </w:rPr>
              <w:t>./2</w:t>
            </w:r>
            <w:r w:rsidR="00DF41E2" w:rsidRPr="001E2B7E">
              <w:rPr>
                <w:rFonts w:ascii="Times New Roman" w:eastAsia="Times New Roman" w:hAnsi="Times New Roman" w:cs="Times New Roman"/>
                <w:color w:val="000000"/>
                <w:sz w:val="24"/>
                <w:szCs w:val="24"/>
              </w:rPr>
              <w:t>5</w:t>
            </w:r>
            <w:r w:rsidRPr="001E2B7E">
              <w:rPr>
                <w:rFonts w:ascii="Times New Roman" w:eastAsia="Times New Roman" w:hAnsi="Times New Roman" w:cs="Times New Roman"/>
                <w:color w:val="000000"/>
                <w:sz w:val="24"/>
                <w:szCs w:val="24"/>
              </w:rPr>
              <w:t>.</w:t>
            </w:r>
          </w:p>
        </w:tc>
      </w:tr>
      <w:tr w:rsidR="003F1246" w:rsidRPr="001E2B7E" w14:paraId="143BBD8F" w14:textId="77777777" w:rsidTr="003F1246">
        <w:trPr>
          <w:trHeight w:val="450"/>
        </w:trPr>
        <w:tc>
          <w:tcPr>
            <w:tcW w:w="1938" w:type="dxa"/>
            <w:vMerge/>
            <w:tcBorders>
              <w:top w:val="single" w:sz="8" w:space="0" w:color="auto"/>
              <w:left w:val="single" w:sz="8" w:space="0" w:color="auto"/>
              <w:bottom w:val="single" w:sz="8" w:space="0" w:color="000000"/>
              <w:right w:val="single" w:sz="8" w:space="0" w:color="auto"/>
            </w:tcBorders>
            <w:vAlign w:val="center"/>
            <w:hideMark/>
          </w:tcPr>
          <w:p w14:paraId="588B8BEB"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c>
          <w:tcPr>
            <w:tcW w:w="1255" w:type="dxa"/>
            <w:vMerge/>
            <w:tcBorders>
              <w:top w:val="single" w:sz="8" w:space="0" w:color="auto"/>
              <w:left w:val="single" w:sz="8" w:space="0" w:color="auto"/>
              <w:bottom w:val="single" w:sz="8" w:space="0" w:color="000000"/>
              <w:right w:val="single" w:sz="8" w:space="0" w:color="auto"/>
            </w:tcBorders>
            <w:vAlign w:val="center"/>
            <w:hideMark/>
          </w:tcPr>
          <w:p w14:paraId="7C839899"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c>
          <w:tcPr>
            <w:tcW w:w="1137" w:type="dxa"/>
            <w:vMerge/>
            <w:tcBorders>
              <w:top w:val="single" w:sz="8" w:space="0" w:color="auto"/>
              <w:left w:val="single" w:sz="8" w:space="0" w:color="auto"/>
              <w:bottom w:val="single" w:sz="8" w:space="0" w:color="000000"/>
              <w:right w:val="single" w:sz="8" w:space="0" w:color="auto"/>
            </w:tcBorders>
            <w:vAlign w:val="center"/>
            <w:hideMark/>
          </w:tcPr>
          <w:p w14:paraId="5F822ACE"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1FB0F92E"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c>
          <w:tcPr>
            <w:tcW w:w="1214" w:type="dxa"/>
            <w:vMerge/>
            <w:tcBorders>
              <w:top w:val="single" w:sz="8" w:space="0" w:color="auto"/>
              <w:left w:val="single" w:sz="8" w:space="0" w:color="auto"/>
              <w:bottom w:val="single" w:sz="8" w:space="0" w:color="000000"/>
              <w:right w:val="single" w:sz="8" w:space="0" w:color="auto"/>
            </w:tcBorders>
            <w:vAlign w:val="center"/>
            <w:hideMark/>
          </w:tcPr>
          <w:p w14:paraId="6354131B"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2B6DD1E5"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c>
          <w:tcPr>
            <w:tcW w:w="966" w:type="dxa"/>
            <w:vMerge/>
            <w:tcBorders>
              <w:top w:val="single" w:sz="8" w:space="0" w:color="auto"/>
              <w:left w:val="single" w:sz="8" w:space="0" w:color="auto"/>
              <w:bottom w:val="single" w:sz="8" w:space="0" w:color="000000"/>
              <w:right w:val="single" w:sz="8" w:space="0" w:color="auto"/>
            </w:tcBorders>
            <w:vAlign w:val="center"/>
            <w:hideMark/>
          </w:tcPr>
          <w:p w14:paraId="2F1A04ED"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r>
      <w:tr w:rsidR="003F1246" w:rsidRPr="001E2B7E" w14:paraId="4A88235A" w14:textId="77777777" w:rsidTr="003F1246">
        <w:trPr>
          <w:trHeight w:val="315"/>
        </w:trPr>
        <w:tc>
          <w:tcPr>
            <w:tcW w:w="1938" w:type="dxa"/>
            <w:tcBorders>
              <w:top w:val="nil"/>
              <w:left w:val="single" w:sz="8" w:space="0" w:color="auto"/>
              <w:bottom w:val="nil"/>
              <w:right w:val="single" w:sz="8" w:space="0" w:color="auto"/>
            </w:tcBorders>
            <w:vAlign w:val="center"/>
            <w:hideMark/>
          </w:tcPr>
          <w:p w14:paraId="52E3D909" w14:textId="12678CE9" w:rsidR="003F1246" w:rsidRPr="001E2B7E" w:rsidRDefault="00DF41E2" w:rsidP="00351FDD">
            <w:pPr>
              <w:spacing w:after="0" w:line="240" w:lineRule="auto"/>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A</w:t>
            </w:r>
            <w:r w:rsidR="00041714">
              <w:rPr>
                <w:rFonts w:ascii="Times New Roman" w:eastAsia="Times New Roman" w:hAnsi="Times New Roman" w:cs="Times New Roman"/>
                <w:color w:val="000000"/>
                <w:sz w:val="24"/>
                <w:szCs w:val="24"/>
              </w:rPr>
              <w:t>679135</w:t>
            </w:r>
          </w:p>
        </w:tc>
        <w:tc>
          <w:tcPr>
            <w:tcW w:w="1255" w:type="dxa"/>
            <w:tcBorders>
              <w:top w:val="nil"/>
              <w:left w:val="nil"/>
              <w:bottom w:val="nil"/>
              <w:right w:val="single" w:sz="8" w:space="0" w:color="auto"/>
            </w:tcBorders>
            <w:vAlign w:val="center"/>
            <w:hideMark/>
          </w:tcPr>
          <w:p w14:paraId="0A0A100E" w14:textId="77777777"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137" w:type="dxa"/>
            <w:tcBorders>
              <w:top w:val="nil"/>
              <w:left w:val="nil"/>
              <w:bottom w:val="nil"/>
              <w:right w:val="single" w:sz="8" w:space="0" w:color="auto"/>
            </w:tcBorders>
            <w:vAlign w:val="center"/>
            <w:hideMark/>
          </w:tcPr>
          <w:p w14:paraId="3F169E23" w14:textId="77777777"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120" w:type="dxa"/>
            <w:tcBorders>
              <w:top w:val="nil"/>
              <w:left w:val="nil"/>
              <w:bottom w:val="nil"/>
              <w:right w:val="single" w:sz="8" w:space="0" w:color="auto"/>
            </w:tcBorders>
            <w:vAlign w:val="center"/>
            <w:hideMark/>
          </w:tcPr>
          <w:p w14:paraId="61BD6F44" w14:textId="77777777"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214" w:type="dxa"/>
            <w:tcBorders>
              <w:top w:val="nil"/>
              <w:left w:val="nil"/>
              <w:bottom w:val="nil"/>
              <w:right w:val="single" w:sz="8" w:space="0" w:color="auto"/>
            </w:tcBorders>
            <w:vAlign w:val="center"/>
            <w:hideMark/>
          </w:tcPr>
          <w:p w14:paraId="3B6279A4" w14:textId="77777777"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190" w:type="dxa"/>
            <w:tcBorders>
              <w:top w:val="nil"/>
              <w:left w:val="nil"/>
              <w:bottom w:val="nil"/>
              <w:right w:val="single" w:sz="8" w:space="0" w:color="auto"/>
            </w:tcBorders>
            <w:vAlign w:val="center"/>
            <w:hideMark/>
          </w:tcPr>
          <w:p w14:paraId="4BE15EAC" w14:textId="77777777"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966" w:type="dxa"/>
            <w:tcBorders>
              <w:top w:val="nil"/>
              <w:left w:val="nil"/>
              <w:bottom w:val="nil"/>
              <w:right w:val="single" w:sz="8" w:space="0" w:color="auto"/>
            </w:tcBorders>
            <w:vAlign w:val="center"/>
            <w:hideMark/>
          </w:tcPr>
          <w:p w14:paraId="1FF9BB03" w14:textId="77777777"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r>
      <w:tr w:rsidR="00DF41E2" w:rsidRPr="001E2B7E" w14:paraId="6B445E79" w14:textId="77777777" w:rsidTr="001E0D4E">
        <w:trPr>
          <w:trHeight w:val="330"/>
        </w:trPr>
        <w:tc>
          <w:tcPr>
            <w:tcW w:w="1938" w:type="dxa"/>
            <w:tcBorders>
              <w:top w:val="nil"/>
              <w:left w:val="single" w:sz="8" w:space="0" w:color="auto"/>
              <w:bottom w:val="single" w:sz="8" w:space="0" w:color="auto"/>
              <w:right w:val="single" w:sz="8" w:space="0" w:color="auto"/>
            </w:tcBorders>
            <w:vAlign w:val="center"/>
            <w:hideMark/>
          </w:tcPr>
          <w:p w14:paraId="63C1158D" w14:textId="77777777" w:rsidR="00DF41E2" w:rsidRPr="001E2B7E" w:rsidRDefault="00DF41E2" w:rsidP="00DF41E2">
            <w:pPr>
              <w:spacing w:after="0" w:line="240" w:lineRule="auto"/>
              <w:ind w:firstLineChars="500" w:firstLine="1200"/>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255" w:type="dxa"/>
            <w:tcBorders>
              <w:top w:val="nil"/>
              <w:left w:val="nil"/>
              <w:bottom w:val="single" w:sz="8" w:space="0" w:color="auto"/>
              <w:right w:val="single" w:sz="8" w:space="0" w:color="auto"/>
            </w:tcBorders>
            <w:hideMark/>
          </w:tcPr>
          <w:p w14:paraId="0164A49C" w14:textId="562AF415" w:rsidR="00DF41E2" w:rsidRPr="001E2B7E" w:rsidRDefault="00DF41E2" w:rsidP="00DF41E2">
            <w:pPr>
              <w:spacing w:after="0" w:line="240" w:lineRule="auto"/>
              <w:jc w:val="right"/>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161.804</w:t>
            </w:r>
          </w:p>
        </w:tc>
        <w:tc>
          <w:tcPr>
            <w:tcW w:w="1137" w:type="dxa"/>
            <w:tcBorders>
              <w:top w:val="nil"/>
              <w:left w:val="nil"/>
              <w:bottom w:val="single" w:sz="8" w:space="0" w:color="auto"/>
              <w:right w:val="single" w:sz="8" w:space="0" w:color="auto"/>
            </w:tcBorders>
            <w:hideMark/>
          </w:tcPr>
          <w:p w14:paraId="0D0B94BF" w14:textId="3BCDEB70" w:rsidR="00DF41E2" w:rsidRPr="001E2B7E" w:rsidRDefault="00DF41E2" w:rsidP="00DF41E2">
            <w:pPr>
              <w:spacing w:after="0" w:line="240" w:lineRule="auto"/>
              <w:jc w:val="right"/>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467.121</w:t>
            </w:r>
          </w:p>
        </w:tc>
        <w:tc>
          <w:tcPr>
            <w:tcW w:w="1120" w:type="dxa"/>
            <w:tcBorders>
              <w:top w:val="nil"/>
              <w:left w:val="nil"/>
              <w:bottom w:val="single" w:sz="8" w:space="0" w:color="auto"/>
              <w:right w:val="single" w:sz="8" w:space="0" w:color="auto"/>
            </w:tcBorders>
            <w:hideMark/>
          </w:tcPr>
          <w:p w14:paraId="10560CFA" w14:textId="277453E0" w:rsidR="00DF41E2" w:rsidRPr="001E2B7E" w:rsidRDefault="00DF41E2" w:rsidP="00DF41E2">
            <w:pPr>
              <w:spacing w:after="0" w:line="240" w:lineRule="auto"/>
              <w:jc w:val="right"/>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456.653</w:t>
            </w:r>
          </w:p>
        </w:tc>
        <w:tc>
          <w:tcPr>
            <w:tcW w:w="1214" w:type="dxa"/>
            <w:tcBorders>
              <w:top w:val="nil"/>
              <w:left w:val="nil"/>
              <w:bottom w:val="single" w:sz="8" w:space="0" w:color="auto"/>
              <w:right w:val="single" w:sz="8" w:space="0" w:color="auto"/>
            </w:tcBorders>
            <w:hideMark/>
          </w:tcPr>
          <w:p w14:paraId="503C8A87" w14:textId="277B9923" w:rsidR="00DF41E2" w:rsidRPr="001E2B7E" w:rsidRDefault="00DF41E2" w:rsidP="00DF41E2">
            <w:pPr>
              <w:spacing w:after="0" w:line="240" w:lineRule="auto"/>
              <w:jc w:val="right"/>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341.248</w:t>
            </w:r>
          </w:p>
        </w:tc>
        <w:tc>
          <w:tcPr>
            <w:tcW w:w="1190" w:type="dxa"/>
            <w:tcBorders>
              <w:top w:val="nil"/>
              <w:left w:val="nil"/>
              <w:bottom w:val="single" w:sz="8" w:space="0" w:color="auto"/>
              <w:right w:val="single" w:sz="8" w:space="0" w:color="auto"/>
            </w:tcBorders>
            <w:hideMark/>
          </w:tcPr>
          <w:p w14:paraId="3D9B4BFA" w14:textId="04BB4F7D" w:rsidR="00DF41E2" w:rsidRPr="001E2B7E" w:rsidRDefault="00DF41E2" w:rsidP="00DF41E2">
            <w:pPr>
              <w:spacing w:after="0" w:line="240" w:lineRule="auto"/>
              <w:jc w:val="right"/>
              <w:rPr>
                <w:rFonts w:ascii="Times New Roman" w:eastAsia="Times New Roman" w:hAnsi="Times New Roman" w:cs="Times New Roman"/>
                <w:color w:val="000000"/>
                <w:sz w:val="24"/>
                <w:szCs w:val="24"/>
              </w:rPr>
            </w:pPr>
            <w:r w:rsidRPr="001E2B7E">
              <w:rPr>
                <w:rFonts w:ascii="Times New Roman" w:hAnsi="Times New Roman" w:cs="Times New Roman"/>
                <w:sz w:val="24"/>
                <w:szCs w:val="24"/>
              </w:rPr>
              <w:t>325.616</w:t>
            </w:r>
          </w:p>
        </w:tc>
        <w:tc>
          <w:tcPr>
            <w:tcW w:w="966" w:type="dxa"/>
            <w:tcBorders>
              <w:top w:val="nil"/>
              <w:left w:val="nil"/>
              <w:bottom w:val="single" w:sz="8" w:space="0" w:color="auto"/>
              <w:right w:val="single" w:sz="8" w:space="0" w:color="auto"/>
            </w:tcBorders>
            <w:vAlign w:val="center"/>
            <w:hideMark/>
          </w:tcPr>
          <w:p w14:paraId="09BE7969" w14:textId="17EEF2C5" w:rsidR="00DF41E2" w:rsidRPr="001E2B7E" w:rsidRDefault="00DF41E2" w:rsidP="00DF41E2">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97,76</w:t>
            </w:r>
          </w:p>
        </w:tc>
      </w:tr>
    </w:tbl>
    <w:p w14:paraId="31BABA14" w14:textId="18494E38" w:rsidR="003F6B2A" w:rsidRPr="0030026A" w:rsidRDefault="0030026A" w:rsidP="00351FD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Na izvoru 50 – Pomoći iz državnog proračuna p</w:t>
      </w:r>
      <w:r w:rsidR="003A55C0" w:rsidRPr="001E2B7E">
        <w:rPr>
          <w:rFonts w:ascii="Times New Roman" w:hAnsi="Times New Roman" w:cs="Times New Roman"/>
          <w:sz w:val="24"/>
          <w:szCs w:val="24"/>
        </w:rPr>
        <w:t xml:space="preserve">lanirana </w:t>
      </w:r>
      <w:r w:rsidR="006210BF" w:rsidRPr="001E2B7E">
        <w:rPr>
          <w:rFonts w:ascii="Times New Roman" w:hAnsi="Times New Roman" w:cs="Times New Roman"/>
          <w:sz w:val="24"/>
          <w:szCs w:val="24"/>
        </w:rPr>
        <w:t xml:space="preserve">su </w:t>
      </w:r>
      <w:r w:rsidR="003A55C0" w:rsidRPr="001E2B7E">
        <w:rPr>
          <w:rFonts w:ascii="Times New Roman" w:hAnsi="Times New Roman" w:cs="Times New Roman"/>
          <w:sz w:val="24"/>
          <w:szCs w:val="24"/>
        </w:rPr>
        <w:t xml:space="preserve">sredstva </w:t>
      </w:r>
      <w:r>
        <w:rPr>
          <w:rFonts w:ascii="Times New Roman" w:hAnsi="Times New Roman" w:cs="Times New Roman"/>
          <w:sz w:val="24"/>
          <w:szCs w:val="24"/>
        </w:rPr>
        <w:t>za provođenje projekata</w:t>
      </w:r>
      <w:r w:rsidR="003A55C0" w:rsidRPr="001E2B7E">
        <w:rPr>
          <w:rFonts w:ascii="Times New Roman" w:hAnsi="Times New Roman" w:cs="Times New Roman"/>
          <w:sz w:val="24"/>
          <w:szCs w:val="24"/>
        </w:rPr>
        <w:t xml:space="preserve"> HRZZ </w:t>
      </w:r>
      <w:r w:rsidR="00E434A3" w:rsidRPr="001E2B7E">
        <w:rPr>
          <w:rFonts w:ascii="Times New Roman" w:hAnsi="Times New Roman" w:cs="Times New Roman"/>
          <w:sz w:val="24"/>
          <w:szCs w:val="24"/>
        </w:rPr>
        <w:t>iz</w:t>
      </w:r>
      <w:r w:rsidR="003A55C0" w:rsidRPr="001E2B7E">
        <w:rPr>
          <w:rFonts w:ascii="Times New Roman" w:hAnsi="Times New Roman" w:cs="Times New Roman"/>
          <w:sz w:val="24"/>
          <w:szCs w:val="24"/>
        </w:rPr>
        <w:t xml:space="preserve"> aktivnost</w:t>
      </w:r>
      <w:r w:rsidR="00E434A3" w:rsidRPr="001E2B7E">
        <w:rPr>
          <w:rFonts w:ascii="Times New Roman" w:hAnsi="Times New Roman" w:cs="Times New Roman"/>
          <w:sz w:val="24"/>
          <w:szCs w:val="24"/>
        </w:rPr>
        <w:t>i</w:t>
      </w:r>
      <w:r w:rsidR="003A55C0" w:rsidRPr="001E2B7E">
        <w:rPr>
          <w:rFonts w:ascii="Times New Roman" w:hAnsi="Times New Roman" w:cs="Times New Roman"/>
          <w:sz w:val="24"/>
          <w:szCs w:val="24"/>
        </w:rPr>
        <w:t xml:space="preserve"> Projektno financiranje znanstvene djelatnosti</w:t>
      </w:r>
      <w:r>
        <w:rPr>
          <w:rFonts w:ascii="Times New Roman" w:hAnsi="Times New Roman" w:cs="Times New Roman"/>
          <w:sz w:val="24"/>
          <w:szCs w:val="24"/>
        </w:rPr>
        <w:t xml:space="preserve">, </w:t>
      </w:r>
      <w:r w:rsidR="00D809F4" w:rsidRPr="001E2B7E">
        <w:rPr>
          <w:rFonts w:ascii="Times New Roman" w:hAnsi="Times New Roman" w:cs="Times New Roman"/>
          <w:color w:val="000000"/>
          <w:sz w:val="24"/>
          <w:szCs w:val="24"/>
        </w:rPr>
        <w:t xml:space="preserve">sredstva Ministarstva </w:t>
      </w:r>
      <w:r w:rsidR="006210BF" w:rsidRPr="001E2B7E">
        <w:rPr>
          <w:rFonts w:ascii="Times New Roman" w:hAnsi="Times New Roman" w:cs="Times New Roman"/>
          <w:color w:val="000000"/>
          <w:sz w:val="24"/>
          <w:szCs w:val="24"/>
        </w:rPr>
        <w:t>zaštite okoliša i zelene tranzicije</w:t>
      </w:r>
      <w:r w:rsidR="00D809F4" w:rsidRPr="001E2B7E">
        <w:rPr>
          <w:rFonts w:ascii="Times New Roman" w:hAnsi="Times New Roman" w:cs="Times New Roman"/>
          <w:color w:val="000000"/>
          <w:sz w:val="24"/>
          <w:szCs w:val="24"/>
        </w:rPr>
        <w:t xml:space="preserve"> za rad oporavilišta za divlje životinje</w:t>
      </w:r>
      <w:r>
        <w:rPr>
          <w:rFonts w:ascii="Times New Roman" w:hAnsi="Times New Roman" w:cs="Times New Roman"/>
          <w:color w:val="000000"/>
          <w:sz w:val="24"/>
          <w:szCs w:val="24"/>
        </w:rPr>
        <w:t xml:space="preserve"> te s</w:t>
      </w:r>
      <w:r w:rsidR="001406ED" w:rsidRPr="001E2B7E">
        <w:rPr>
          <w:rFonts w:ascii="Times New Roman" w:hAnsi="Times New Roman" w:cs="Times New Roman"/>
          <w:color w:val="000000"/>
          <w:sz w:val="24"/>
          <w:szCs w:val="24"/>
        </w:rPr>
        <w:t>redstv</w:t>
      </w:r>
      <w:r>
        <w:rPr>
          <w:rFonts w:ascii="Times New Roman" w:hAnsi="Times New Roman" w:cs="Times New Roman"/>
          <w:color w:val="000000"/>
          <w:sz w:val="24"/>
          <w:szCs w:val="24"/>
        </w:rPr>
        <w:t>a</w:t>
      </w:r>
      <w:r w:rsidR="003F6B2A" w:rsidRPr="001E2B7E">
        <w:rPr>
          <w:rFonts w:ascii="Times New Roman" w:hAnsi="Times New Roman" w:cs="Times New Roman"/>
          <w:color w:val="000000"/>
          <w:sz w:val="24"/>
          <w:szCs w:val="24"/>
        </w:rPr>
        <w:t xml:space="preserve"> Ministarstva poljoprivrede</w:t>
      </w:r>
      <w:r w:rsidR="001406ED" w:rsidRPr="001E2B7E">
        <w:rPr>
          <w:rFonts w:ascii="Times New Roman" w:hAnsi="Times New Roman" w:cs="Times New Roman"/>
          <w:color w:val="000000"/>
          <w:sz w:val="24"/>
          <w:szCs w:val="24"/>
        </w:rPr>
        <w:t xml:space="preserve">, šumarstva i ribarstva </w:t>
      </w:r>
      <w:r w:rsidR="003F6B2A" w:rsidRPr="001E2B7E">
        <w:rPr>
          <w:rFonts w:ascii="Times New Roman" w:hAnsi="Times New Roman" w:cs="Times New Roman"/>
          <w:color w:val="000000"/>
          <w:sz w:val="24"/>
          <w:szCs w:val="24"/>
        </w:rPr>
        <w:t xml:space="preserve">za </w:t>
      </w:r>
      <w:r w:rsidR="001406ED" w:rsidRPr="001E2B7E">
        <w:rPr>
          <w:rFonts w:ascii="Times New Roman" w:hAnsi="Times New Roman" w:cs="Times New Roman"/>
          <w:color w:val="000000"/>
          <w:sz w:val="24"/>
          <w:szCs w:val="24"/>
        </w:rPr>
        <w:t>provođenja mjera zaštite zdravlja životinja od zaraznih i nametničkih bolesti</w:t>
      </w:r>
      <w:r>
        <w:rPr>
          <w:rFonts w:ascii="Times New Roman" w:hAnsi="Times New Roman" w:cs="Times New Roman"/>
          <w:color w:val="000000"/>
          <w:sz w:val="24"/>
          <w:szCs w:val="24"/>
        </w:rPr>
        <w:t>.</w:t>
      </w:r>
    </w:p>
    <w:p w14:paraId="6381713F" w14:textId="42713D07" w:rsidR="009337A4" w:rsidRPr="001E2B7E" w:rsidRDefault="00672595" w:rsidP="00351FDD">
      <w:pPr>
        <w:spacing w:line="240" w:lineRule="auto"/>
        <w:ind w:left="720"/>
        <w:jc w:val="both"/>
        <w:rPr>
          <w:rFonts w:ascii="Times New Roman" w:hAnsi="Times New Roman" w:cs="Times New Roman"/>
          <w:sz w:val="24"/>
          <w:szCs w:val="24"/>
        </w:rPr>
      </w:pPr>
      <w:r w:rsidRPr="001E2B7E">
        <w:rPr>
          <w:rFonts w:ascii="Times New Roman" w:hAnsi="Times New Roman" w:cs="Times New Roman"/>
          <w:sz w:val="24"/>
          <w:szCs w:val="24"/>
        </w:rPr>
        <w:t>1.</w:t>
      </w:r>
      <w:r w:rsidR="00216247" w:rsidRPr="001E2B7E">
        <w:rPr>
          <w:rFonts w:ascii="Times New Roman" w:hAnsi="Times New Roman" w:cs="Times New Roman"/>
          <w:sz w:val="24"/>
          <w:szCs w:val="24"/>
        </w:rPr>
        <w:t xml:space="preserve">4. </w:t>
      </w:r>
      <w:r w:rsidRPr="001E2B7E">
        <w:rPr>
          <w:rFonts w:ascii="Times New Roman" w:hAnsi="Times New Roman" w:cs="Times New Roman"/>
          <w:sz w:val="24"/>
          <w:szCs w:val="24"/>
        </w:rPr>
        <w:t xml:space="preserve"> Obrazloženje programa- </w:t>
      </w:r>
      <w:r w:rsidR="002D73AA" w:rsidRPr="001E2B7E">
        <w:rPr>
          <w:rFonts w:ascii="Times New Roman" w:hAnsi="Times New Roman" w:cs="Times New Roman"/>
          <w:sz w:val="24"/>
          <w:szCs w:val="24"/>
        </w:rPr>
        <w:t>Programi Unije</w:t>
      </w:r>
      <w:r w:rsidR="00F42B90" w:rsidRPr="001E2B7E">
        <w:rPr>
          <w:rFonts w:ascii="Times New Roman" w:hAnsi="Times New Roman" w:cs="Times New Roman"/>
          <w:sz w:val="24"/>
          <w:szCs w:val="24"/>
        </w:rPr>
        <w:t xml:space="preserve"> – izvor 51</w:t>
      </w:r>
    </w:p>
    <w:tbl>
      <w:tblPr>
        <w:tblW w:w="8820" w:type="dxa"/>
        <w:tblLook w:val="04A0" w:firstRow="1" w:lastRow="0" w:firstColumn="1" w:lastColumn="0" w:noHBand="0" w:noVBand="1"/>
      </w:tblPr>
      <w:tblGrid>
        <w:gridCol w:w="1754"/>
        <w:gridCol w:w="1299"/>
        <w:gridCol w:w="1179"/>
        <w:gridCol w:w="1159"/>
        <w:gridCol w:w="1240"/>
        <w:gridCol w:w="1190"/>
        <w:gridCol w:w="999"/>
      </w:tblGrid>
      <w:tr w:rsidR="003F1246" w:rsidRPr="001E2B7E" w14:paraId="52F16723" w14:textId="77777777" w:rsidTr="003F1246">
        <w:trPr>
          <w:trHeight w:val="450"/>
        </w:trPr>
        <w:tc>
          <w:tcPr>
            <w:tcW w:w="1754"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77E271DF" w14:textId="77777777" w:rsidR="003F1246" w:rsidRPr="001E2B7E" w:rsidRDefault="003F1246" w:rsidP="00351FDD">
            <w:pPr>
              <w:spacing w:after="0" w:line="240" w:lineRule="auto"/>
              <w:jc w:val="both"/>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299"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45377F1C" w14:textId="64BEBCA5" w:rsidR="003F1246" w:rsidRPr="001E2B7E" w:rsidRDefault="003F1246"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Izvršenje 202</w:t>
            </w:r>
            <w:r w:rsidR="002D73AA" w:rsidRPr="001E2B7E">
              <w:rPr>
                <w:rFonts w:ascii="Times New Roman" w:eastAsia="Times New Roman" w:hAnsi="Times New Roman" w:cs="Times New Roman"/>
                <w:color w:val="000000"/>
                <w:sz w:val="24"/>
                <w:szCs w:val="24"/>
              </w:rPr>
              <w:t>4</w:t>
            </w:r>
            <w:r w:rsidRPr="001E2B7E">
              <w:rPr>
                <w:rFonts w:ascii="Times New Roman" w:eastAsia="Times New Roman" w:hAnsi="Times New Roman" w:cs="Times New Roman"/>
                <w:color w:val="000000"/>
                <w:sz w:val="24"/>
                <w:szCs w:val="24"/>
              </w:rPr>
              <w:t>.</w:t>
            </w:r>
          </w:p>
        </w:tc>
        <w:tc>
          <w:tcPr>
            <w:tcW w:w="1179"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7D141BD3" w14:textId="3D304ACC" w:rsidR="003F1246" w:rsidRPr="001E2B7E" w:rsidRDefault="003F1246"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Plan 202</w:t>
            </w:r>
            <w:r w:rsidR="002D73AA" w:rsidRPr="001E2B7E">
              <w:rPr>
                <w:rFonts w:ascii="Times New Roman" w:eastAsia="Times New Roman" w:hAnsi="Times New Roman" w:cs="Times New Roman"/>
                <w:color w:val="000000"/>
                <w:sz w:val="24"/>
                <w:szCs w:val="24"/>
              </w:rPr>
              <w:t>5</w:t>
            </w:r>
            <w:r w:rsidRPr="001E2B7E">
              <w:rPr>
                <w:rFonts w:ascii="Times New Roman" w:eastAsia="Times New Roman" w:hAnsi="Times New Roman" w:cs="Times New Roman"/>
                <w:color w:val="000000"/>
                <w:sz w:val="24"/>
                <w:szCs w:val="24"/>
              </w:rPr>
              <w:t>.</w:t>
            </w:r>
          </w:p>
        </w:tc>
        <w:tc>
          <w:tcPr>
            <w:tcW w:w="1159"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77C78DF" w14:textId="552880A5" w:rsidR="003F1246" w:rsidRPr="001E2B7E" w:rsidRDefault="003F1246"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Plan 202</w:t>
            </w:r>
            <w:r w:rsidR="002D73AA" w:rsidRPr="001E2B7E">
              <w:rPr>
                <w:rFonts w:ascii="Times New Roman" w:eastAsia="Times New Roman" w:hAnsi="Times New Roman" w:cs="Times New Roman"/>
                <w:color w:val="000000"/>
                <w:sz w:val="24"/>
                <w:szCs w:val="24"/>
              </w:rPr>
              <w:t>6</w:t>
            </w:r>
            <w:r w:rsidRPr="001E2B7E">
              <w:rPr>
                <w:rFonts w:ascii="Times New Roman" w:eastAsia="Times New Roman" w:hAnsi="Times New Roman" w:cs="Times New Roman"/>
                <w:color w:val="000000"/>
                <w:sz w:val="24"/>
                <w:szCs w:val="24"/>
              </w:rPr>
              <w:t>.</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4D35C95E" w14:textId="4FA4D4A5" w:rsidR="003F1246" w:rsidRPr="001E2B7E" w:rsidRDefault="003F1246"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Projekcija 202</w:t>
            </w:r>
            <w:r w:rsidR="002D73AA" w:rsidRPr="001E2B7E">
              <w:rPr>
                <w:rFonts w:ascii="Times New Roman" w:eastAsia="Times New Roman" w:hAnsi="Times New Roman" w:cs="Times New Roman"/>
                <w:color w:val="000000"/>
                <w:sz w:val="24"/>
                <w:szCs w:val="24"/>
              </w:rPr>
              <w:t>7</w:t>
            </w:r>
            <w:r w:rsidRPr="001E2B7E">
              <w:rPr>
                <w:rFonts w:ascii="Times New Roman" w:eastAsia="Times New Roman" w:hAnsi="Times New Roman" w:cs="Times New Roman"/>
                <w:color w:val="000000"/>
                <w:sz w:val="24"/>
                <w:szCs w:val="24"/>
              </w:rPr>
              <w:t>.</w:t>
            </w:r>
          </w:p>
        </w:tc>
        <w:tc>
          <w:tcPr>
            <w:tcW w:w="119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237B0A7E" w14:textId="70A2E48D" w:rsidR="003F1246" w:rsidRPr="001E2B7E" w:rsidRDefault="003F1246"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Projekcija 202</w:t>
            </w:r>
            <w:r w:rsidR="002D73AA" w:rsidRPr="001E2B7E">
              <w:rPr>
                <w:rFonts w:ascii="Times New Roman" w:eastAsia="Times New Roman" w:hAnsi="Times New Roman" w:cs="Times New Roman"/>
                <w:color w:val="000000"/>
                <w:sz w:val="24"/>
                <w:szCs w:val="24"/>
              </w:rPr>
              <w:t>8</w:t>
            </w:r>
            <w:r w:rsidRPr="001E2B7E">
              <w:rPr>
                <w:rFonts w:ascii="Times New Roman" w:eastAsia="Times New Roman" w:hAnsi="Times New Roman" w:cs="Times New Roman"/>
                <w:color w:val="000000"/>
                <w:sz w:val="24"/>
                <w:szCs w:val="24"/>
              </w:rPr>
              <w:t>.</w:t>
            </w:r>
          </w:p>
        </w:tc>
        <w:tc>
          <w:tcPr>
            <w:tcW w:w="999"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424E5A77" w14:textId="1FFD07A8" w:rsidR="003F1246" w:rsidRPr="001E2B7E" w:rsidRDefault="003F1246" w:rsidP="00351FDD">
            <w:pPr>
              <w:spacing w:after="0" w:line="240" w:lineRule="auto"/>
              <w:jc w:val="center"/>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Indeks 2</w:t>
            </w:r>
            <w:r w:rsidR="002D73AA" w:rsidRPr="001E2B7E">
              <w:rPr>
                <w:rFonts w:ascii="Times New Roman" w:eastAsia="Times New Roman" w:hAnsi="Times New Roman" w:cs="Times New Roman"/>
                <w:color w:val="000000"/>
                <w:sz w:val="24"/>
                <w:szCs w:val="24"/>
              </w:rPr>
              <w:t>6</w:t>
            </w:r>
            <w:r w:rsidRPr="001E2B7E">
              <w:rPr>
                <w:rFonts w:ascii="Times New Roman" w:eastAsia="Times New Roman" w:hAnsi="Times New Roman" w:cs="Times New Roman"/>
                <w:color w:val="000000"/>
                <w:sz w:val="24"/>
                <w:szCs w:val="24"/>
              </w:rPr>
              <w:t>./2</w:t>
            </w:r>
            <w:r w:rsidR="002D73AA" w:rsidRPr="001E2B7E">
              <w:rPr>
                <w:rFonts w:ascii="Times New Roman" w:eastAsia="Times New Roman" w:hAnsi="Times New Roman" w:cs="Times New Roman"/>
                <w:color w:val="000000"/>
                <w:sz w:val="24"/>
                <w:szCs w:val="24"/>
              </w:rPr>
              <w:t>5</w:t>
            </w:r>
            <w:r w:rsidRPr="001E2B7E">
              <w:rPr>
                <w:rFonts w:ascii="Times New Roman" w:eastAsia="Times New Roman" w:hAnsi="Times New Roman" w:cs="Times New Roman"/>
                <w:color w:val="000000"/>
                <w:sz w:val="24"/>
                <w:szCs w:val="24"/>
              </w:rPr>
              <w:t>.</w:t>
            </w:r>
          </w:p>
        </w:tc>
      </w:tr>
      <w:tr w:rsidR="003F1246" w:rsidRPr="001E2B7E" w14:paraId="6466B65E" w14:textId="77777777" w:rsidTr="003F1246">
        <w:trPr>
          <w:trHeight w:val="450"/>
        </w:trPr>
        <w:tc>
          <w:tcPr>
            <w:tcW w:w="1754" w:type="dxa"/>
            <w:vMerge/>
            <w:tcBorders>
              <w:top w:val="single" w:sz="8" w:space="0" w:color="auto"/>
              <w:left w:val="single" w:sz="8" w:space="0" w:color="auto"/>
              <w:bottom w:val="single" w:sz="8" w:space="0" w:color="000000"/>
              <w:right w:val="single" w:sz="8" w:space="0" w:color="auto"/>
            </w:tcBorders>
            <w:vAlign w:val="center"/>
            <w:hideMark/>
          </w:tcPr>
          <w:p w14:paraId="120E96BD"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c>
          <w:tcPr>
            <w:tcW w:w="1299" w:type="dxa"/>
            <w:vMerge/>
            <w:tcBorders>
              <w:top w:val="single" w:sz="8" w:space="0" w:color="auto"/>
              <w:left w:val="single" w:sz="8" w:space="0" w:color="auto"/>
              <w:bottom w:val="single" w:sz="8" w:space="0" w:color="000000"/>
              <w:right w:val="single" w:sz="8" w:space="0" w:color="auto"/>
            </w:tcBorders>
            <w:vAlign w:val="center"/>
            <w:hideMark/>
          </w:tcPr>
          <w:p w14:paraId="54B98F26"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c>
          <w:tcPr>
            <w:tcW w:w="1179" w:type="dxa"/>
            <w:vMerge/>
            <w:tcBorders>
              <w:top w:val="single" w:sz="8" w:space="0" w:color="auto"/>
              <w:left w:val="single" w:sz="8" w:space="0" w:color="auto"/>
              <w:bottom w:val="single" w:sz="8" w:space="0" w:color="000000"/>
              <w:right w:val="single" w:sz="8" w:space="0" w:color="auto"/>
            </w:tcBorders>
            <w:vAlign w:val="center"/>
            <w:hideMark/>
          </w:tcPr>
          <w:p w14:paraId="6DB59160"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c>
          <w:tcPr>
            <w:tcW w:w="1159" w:type="dxa"/>
            <w:vMerge/>
            <w:tcBorders>
              <w:top w:val="single" w:sz="8" w:space="0" w:color="auto"/>
              <w:left w:val="single" w:sz="8" w:space="0" w:color="auto"/>
              <w:bottom w:val="single" w:sz="8" w:space="0" w:color="000000"/>
              <w:right w:val="single" w:sz="8" w:space="0" w:color="auto"/>
            </w:tcBorders>
            <w:vAlign w:val="center"/>
            <w:hideMark/>
          </w:tcPr>
          <w:p w14:paraId="6996F148"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EB33617"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1C2EEF84"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4FA768A7"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r>
      <w:tr w:rsidR="003F1246" w:rsidRPr="001E2B7E" w14:paraId="1F1C7EDC" w14:textId="77777777" w:rsidTr="003F1246">
        <w:trPr>
          <w:trHeight w:val="315"/>
        </w:trPr>
        <w:tc>
          <w:tcPr>
            <w:tcW w:w="1754" w:type="dxa"/>
            <w:vMerge w:val="restart"/>
            <w:tcBorders>
              <w:top w:val="nil"/>
              <w:left w:val="single" w:sz="8" w:space="0" w:color="auto"/>
              <w:bottom w:val="single" w:sz="8" w:space="0" w:color="000000"/>
              <w:right w:val="single" w:sz="8" w:space="0" w:color="auto"/>
            </w:tcBorders>
            <w:vAlign w:val="center"/>
            <w:hideMark/>
          </w:tcPr>
          <w:p w14:paraId="536F1CF9" w14:textId="13311E1B" w:rsidR="003F1246" w:rsidRPr="001E2B7E" w:rsidRDefault="002D73AA" w:rsidP="00351FDD">
            <w:pPr>
              <w:spacing w:after="0" w:line="240" w:lineRule="auto"/>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A</w:t>
            </w:r>
            <w:r w:rsidR="00041714">
              <w:rPr>
                <w:rFonts w:ascii="Times New Roman" w:eastAsia="Times New Roman" w:hAnsi="Times New Roman" w:cs="Times New Roman"/>
                <w:color w:val="000000"/>
                <w:sz w:val="24"/>
                <w:szCs w:val="24"/>
              </w:rPr>
              <w:t>679135</w:t>
            </w:r>
          </w:p>
        </w:tc>
        <w:tc>
          <w:tcPr>
            <w:tcW w:w="1299" w:type="dxa"/>
            <w:tcBorders>
              <w:top w:val="nil"/>
              <w:left w:val="nil"/>
              <w:bottom w:val="nil"/>
              <w:right w:val="single" w:sz="8" w:space="0" w:color="auto"/>
            </w:tcBorders>
            <w:vAlign w:val="center"/>
            <w:hideMark/>
          </w:tcPr>
          <w:p w14:paraId="68B75AB7" w14:textId="77777777"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179" w:type="dxa"/>
            <w:tcBorders>
              <w:top w:val="nil"/>
              <w:left w:val="nil"/>
              <w:bottom w:val="nil"/>
              <w:right w:val="single" w:sz="8" w:space="0" w:color="auto"/>
            </w:tcBorders>
            <w:vAlign w:val="center"/>
            <w:hideMark/>
          </w:tcPr>
          <w:p w14:paraId="5D200BA6" w14:textId="77777777"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159" w:type="dxa"/>
            <w:tcBorders>
              <w:top w:val="nil"/>
              <w:left w:val="nil"/>
              <w:bottom w:val="nil"/>
              <w:right w:val="single" w:sz="8" w:space="0" w:color="auto"/>
            </w:tcBorders>
            <w:vAlign w:val="center"/>
            <w:hideMark/>
          </w:tcPr>
          <w:p w14:paraId="316BD219" w14:textId="77777777"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240" w:type="dxa"/>
            <w:tcBorders>
              <w:top w:val="nil"/>
              <w:left w:val="nil"/>
              <w:bottom w:val="nil"/>
              <w:right w:val="single" w:sz="8" w:space="0" w:color="auto"/>
            </w:tcBorders>
            <w:vAlign w:val="center"/>
            <w:hideMark/>
          </w:tcPr>
          <w:p w14:paraId="1067C70D" w14:textId="77777777"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1190" w:type="dxa"/>
            <w:tcBorders>
              <w:top w:val="nil"/>
              <w:left w:val="nil"/>
              <w:bottom w:val="nil"/>
              <w:right w:val="single" w:sz="8" w:space="0" w:color="auto"/>
            </w:tcBorders>
            <w:vAlign w:val="center"/>
            <w:hideMark/>
          </w:tcPr>
          <w:p w14:paraId="784BF983" w14:textId="77777777"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c>
          <w:tcPr>
            <w:tcW w:w="999" w:type="dxa"/>
            <w:tcBorders>
              <w:top w:val="nil"/>
              <w:left w:val="nil"/>
              <w:bottom w:val="nil"/>
              <w:right w:val="single" w:sz="8" w:space="0" w:color="auto"/>
            </w:tcBorders>
            <w:vAlign w:val="center"/>
            <w:hideMark/>
          </w:tcPr>
          <w:p w14:paraId="15B014D9" w14:textId="77777777"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 </w:t>
            </w:r>
          </w:p>
        </w:tc>
      </w:tr>
      <w:tr w:rsidR="003F1246" w:rsidRPr="001E2B7E" w14:paraId="0CA51F3D" w14:textId="77777777" w:rsidTr="003F1246">
        <w:trPr>
          <w:trHeight w:val="330"/>
        </w:trPr>
        <w:tc>
          <w:tcPr>
            <w:tcW w:w="1754" w:type="dxa"/>
            <w:vMerge/>
            <w:tcBorders>
              <w:top w:val="nil"/>
              <w:left w:val="single" w:sz="8" w:space="0" w:color="auto"/>
              <w:bottom w:val="single" w:sz="8" w:space="0" w:color="000000"/>
              <w:right w:val="single" w:sz="8" w:space="0" w:color="auto"/>
            </w:tcBorders>
            <w:vAlign w:val="center"/>
            <w:hideMark/>
          </w:tcPr>
          <w:p w14:paraId="233B6FFA" w14:textId="77777777" w:rsidR="003F1246" w:rsidRPr="001E2B7E" w:rsidRDefault="003F1246" w:rsidP="00351FDD">
            <w:pPr>
              <w:spacing w:after="0" w:line="240" w:lineRule="auto"/>
              <w:rPr>
                <w:rFonts w:ascii="Times New Roman" w:eastAsia="Times New Roman" w:hAnsi="Times New Roman" w:cs="Times New Roman"/>
                <w:color w:val="000000"/>
                <w:sz w:val="24"/>
                <w:szCs w:val="24"/>
              </w:rPr>
            </w:pPr>
          </w:p>
        </w:tc>
        <w:tc>
          <w:tcPr>
            <w:tcW w:w="1299" w:type="dxa"/>
            <w:tcBorders>
              <w:top w:val="nil"/>
              <w:left w:val="nil"/>
              <w:bottom w:val="single" w:sz="8" w:space="0" w:color="auto"/>
              <w:right w:val="single" w:sz="8" w:space="0" w:color="auto"/>
            </w:tcBorders>
            <w:vAlign w:val="center"/>
            <w:hideMark/>
          </w:tcPr>
          <w:p w14:paraId="3A438A2F" w14:textId="0D4935B3"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1</w:t>
            </w:r>
            <w:r w:rsidR="002D73AA" w:rsidRPr="001E2B7E">
              <w:rPr>
                <w:rFonts w:ascii="Times New Roman" w:eastAsia="Times New Roman" w:hAnsi="Times New Roman" w:cs="Times New Roman"/>
                <w:color w:val="000000"/>
                <w:sz w:val="24"/>
                <w:szCs w:val="24"/>
              </w:rPr>
              <w:t>82.049</w:t>
            </w:r>
          </w:p>
        </w:tc>
        <w:tc>
          <w:tcPr>
            <w:tcW w:w="1179" w:type="dxa"/>
            <w:tcBorders>
              <w:top w:val="nil"/>
              <w:left w:val="nil"/>
              <w:bottom w:val="single" w:sz="8" w:space="0" w:color="auto"/>
              <w:right w:val="single" w:sz="8" w:space="0" w:color="auto"/>
            </w:tcBorders>
            <w:vAlign w:val="center"/>
            <w:hideMark/>
          </w:tcPr>
          <w:p w14:paraId="4C190809" w14:textId="22B3D48F" w:rsidR="003F1246" w:rsidRPr="001E2B7E" w:rsidRDefault="002D73AA"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439.258</w:t>
            </w:r>
          </w:p>
        </w:tc>
        <w:tc>
          <w:tcPr>
            <w:tcW w:w="1159" w:type="dxa"/>
            <w:tcBorders>
              <w:top w:val="nil"/>
              <w:left w:val="nil"/>
              <w:bottom w:val="single" w:sz="8" w:space="0" w:color="auto"/>
              <w:right w:val="single" w:sz="8" w:space="0" w:color="auto"/>
            </w:tcBorders>
            <w:vAlign w:val="center"/>
            <w:hideMark/>
          </w:tcPr>
          <w:p w14:paraId="77562EBD" w14:textId="38845772" w:rsidR="003F1246" w:rsidRPr="001E2B7E" w:rsidRDefault="002D73AA"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467.541</w:t>
            </w:r>
          </w:p>
        </w:tc>
        <w:tc>
          <w:tcPr>
            <w:tcW w:w="1240" w:type="dxa"/>
            <w:tcBorders>
              <w:top w:val="nil"/>
              <w:left w:val="nil"/>
              <w:bottom w:val="single" w:sz="8" w:space="0" w:color="auto"/>
              <w:right w:val="single" w:sz="8" w:space="0" w:color="auto"/>
            </w:tcBorders>
            <w:vAlign w:val="center"/>
            <w:hideMark/>
          </w:tcPr>
          <w:p w14:paraId="404BF0F6" w14:textId="472DA408" w:rsidR="003F1246" w:rsidRPr="001E2B7E" w:rsidRDefault="002D73AA"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250.254</w:t>
            </w:r>
          </w:p>
        </w:tc>
        <w:tc>
          <w:tcPr>
            <w:tcW w:w="1190" w:type="dxa"/>
            <w:tcBorders>
              <w:top w:val="nil"/>
              <w:left w:val="nil"/>
              <w:bottom w:val="single" w:sz="8" w:space="0" w:color="auto"/>
              <w:right w:val="single" w:sz="8" w:space="0" w:color="auto"/>
            </w:tcBorders>
            <w:vAlign w:val="center"/>
            <w:hideMark/>
          </w:tcPr>
          <w:p w14:paraId="3C67E136" w14:textId="0687E6B3" w:rsidR="003F1246" w:rsidRPr="001E2B7E" w:rsidRDefault="002D73AA"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81</w:t>
            </w:r>
            <w:r w:rsidR="00DC1C4F" w:rsidRPr="001E2B7E">
              <w:rPr>
                <w:rFonts w:ascii="Times New Roman" w:eastAsia="Times New Roman" w:hAnsi="Times New Roman" w:cs="Times New Roman"/>
                <w:color w:val="000000"/>
                <w:sz w:val="24"/>
                <w:szCs w:val="24"/>
              </w:rPr>
              <w:t>.</w:t>
            </w:r>
            <w:r w:rsidRPr="001E2B7E">
              <w:rPr>
                <w:rFonts w:ascii="Times New Roman" w:eastAsia="Times New Roman" w:hAnsi="Times New Roman" w:cs="Times New Roman"/>
                <w:color w:val="000000"/>
                <w:sz w:val="24"/>
                <w:szCs w:val="24"/>
              </w:rPr>
              <w:t>400</w:t>
            </w:r>
          </w:p>
        </w:tc>
        <w:tc>
          <w:tcPr>
            <w:tcW w:w="999" w:type="dxa"/>
            <w:tcBorders>
              <w:top w:val="nil"/>
              <w:left w:val="nil"/>
              <w:bottom w:val="single" w:sz="8" w:space="0" w:color="auto"/>
              <w:right w:val="single" w:sz="8" w:space="0" w:color="auto"/>
            </w:tcBorders>
            <w:vAlign w:val="center"/>
            <w:hideMark/>
          </w:tcPr>
          <w:p w14:paraId="7837B845" w14:textId="4C341EA1" w:rsidR="003F1246" w:rsidRPr="001E2B7E" w:rsidRDefault="003F1246" w:rsidP="00351FDD">
            <w:pPr>
              <w:spacing w:after="0" w:line="240" w:lineRule="auto"/>
              <w:jc w:val="right"/>
              <w:rPr>
                <w:rFonts w:ascii="Times New Roman" w:eastAsia="Times New Roman" w:hAnsi="Times New Roman" w:cs="Times New Roman"/>
                <w:color w:val="000000"/>
                <w:sz w:val="24"/>
                <w:szCs w:val="24"/>
              </w:rPr>
            </w:pPr>
            <w:r w:rsidRPr="001E2B7E">
              <w:rPr>
                <w:rFonts w:ascii="Times New Roman" w:eastAsia="Times New Roman" w:hAnsi="Times New Roman" w:cs="Times New Roman"/>
                <w:color w:val="000000"/>
                <w:sz w:val="24"/>
                <w:szCs w:val="24"/>
              </w:rPr>
              <w:t>1</w:t>
            </w:r>
            <w:r w:rsidR="00DC1C4F" w:rsidRPr="001E2B7E">
              <w:rPr>
                <w:rFonts w:ascii="Times New Roman" w:eastAsia="Times New Roman" w:hAnsi="Times New Roman" w:cs="Times New Roman"/>
                <w:color w:val="000000"/>
                <w:sz w:val="24"/>
                <w:szCs w:val="24"/>
              </w:rPr>
              <w:t>06,44</w:t>
            </w:r>
          </w:p>
        </w:tc>
      </w:tr>
    </w:tbl>
    <w:p w14:paraId="393CD4CD" w14:textId="77777777" w:rsidR="00256D2E" w:rsidRPr="001E2B7E" w:rsidRDefault="00256D2E" w:rsidP="00351FDD">
      <w:pPr>
        <w:spacing w:line="240" w:lineRule="auto"/>
        <w:jc w:val="both"/>
        <w:rPr>
          <w:rFonts w:ascii="Times New Roman" w:hAnsi="Times New Roman" w:cs="Times New Roman"/>
          <w:sz w:val="24"/>
          <w:szCs w:val="24"/>
        </w:rPr>
      </w:pPr>
    </w:p>
    <w:p w14:paraId="11D032AE" w14:textId="1E2E3905" w:rsidR="002D73AA" w:rsidRPr="001E2B7E" w:rsidRDefault="002D73AA" w:rsidP="002D73AA">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U okviru izvora 51- Programi Unije planiran</w:t>
      </w:r>
      <w:r w:rsidR="00235335">
        <w:rPr>
          <w:rFonts w:ascii="Times New Roman" w:hAnsi="Times New Roman" w:cs="Times New Roman"/>
          <w:sz w:val="24"/>
          <w:szCs w:val="24"/>
        </w:rPr>
        <w:t xml:space="preserve">a su sredstva </w:t>
      </w:r>
      <w:r w:rsidRPr="001E2B7E">
        <w:rPr>
          <w:rFonts w:ascii="Times New Roman" w:hAnsi="Times New Roman" w:cs="Times New Roman"/>
          <w:sz w:val="24"/>
          <w:szCs w:val="24"/>
        </w:rPr>
        <w:t>za</w:t>
      </w:r>
      <w:r w:rsidR="00235335">
        <w:rPr>
          <w:rFonts w:ascii="Times New Roman" w:hAnsi="Times New Roman" w:cs="Times New Roman"/>
          <w:sz w:val="24"/>
          <w:szCs w:val="24"/>
        </w:rPr>
        <w:t xml:space="preserve"> provođenje </w:t>
      </w:r>
      <w:r w:rsidRPr="001E2B7E">
        <w:rPr>
          <w:rFonts w:ascii="Times New Roman" w:hAnsi="Times New Roman" w:cs="Times New Roman"/>
          <w:sz w:val="24"/>
          <w:szCs w:val="24"/>
        </w:rPr>
        <w:t>sljedeći</w:t>
      </w:r>
      <w:r w:rsidR="00235335">
        <w:rPr>
          <w:rFonts w:ascii="Times New Roman" w:hAnsi="Times New Roman" w:cs="Times New Roman"/>
          <w:sz w:val="24"/>
          <w:szCs w:val="24"/>
        </w:rPr>
        <w:t>h</w:t>
      </w:r>
      <w:r w:rsidRPr="001E2B7E">
        <w:rPr>
          <w:rFonts w:ascii="Times New Roman" w:hAnsi="Times New Roman" w:cs="Times New Roman"/>
          <w:sz w:val="24"/>
          <w:szCs w:val="24"/>
        </w:rPr>
        <w:t xml:space="preserve"> projekata: </w:t>
      </w:r>
    </w:p>
    <w:p w14:paraId="7B34EB24" w14:textId="105DCADC" w:rsidR="002D73AA" w:rsidRDefault="002D73AA" w:rsidP="002D73AA">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w:t>
      </w:r>
      <w:r w:rsidRPr="001E2B7E">
        <w:rPr>
          <w:rFonts w:ascii="Times New Roman" w:hAnsi="Times New Roman" w:cs="Times New Roman"/>
          <w:sz w:val="24"/>
          <w:szCs w:val="24"/>
        </w:rPr>
        <w:tab/>
      </w:r>
      <w:r w:rsidR="00235335">
        <w:rPr>
          <w:rFonts w:ascii="Times New Roman" w:hAnsi="Times New Roman" w:cs="Times New Roman"/>
          <w:sz w:val="24"/>
          <w:szCs w:val="24"/>
        </w:rPr>
        <w:t xml:space="preserve">projekt </w:t>
      </w:r>
      <w:r w:rsidRPr="001E2B7E">
        <w:rPr>
          <w:rFonts w:ascii="Times New Roman" w:hAnsi="Times New Roman" w:cs="Times New Roman"/>
          <w:sz w:val="24"/>
          <w:szCs w:val="24"/>
        </w:rPr>
        <w:t>LIFE WILD WOLF</w:t>
      </w:r>
      <w:r w:rsidR="00235335">
        <w:t xml:space="preserve">- </w:t>
      </w:r>
      <w:r w:rsidR="00235335" w:rsidRPr="00235335">
        <w:rPr>
          <w:rFonts w:ascii="Times New Roman" w:hAnsi="Times New Roman" w:cs="Times New Roman"/>
          <w:sz w:val="24"/>
          <w:szCs w:val="24"/>
        </w:rPr>
        <w:t>Konkretne akcije za očuvanje divljih vukova u antropogenim krajolicima Europe</w:t>
      </w:r>
      <w:r w:rsidR="00235335">
        <w:rPr>
          <w:rFonts w:ascii="Times New Roman" w:hAnsi="Times New Roman" w:cs="Times New Roman"/>
          <w:sz w:val="24"/>
          <w:szCs w:val="24"/>
        </w:rPr>
        <w:t xml:space="preserve"> (program EU LIFE) </w:t>
      </w:r>
      <w:r w:rsidRPr="001E2B7E">
        <w:rPr>
          <w:rFonts w:ascii="Times New Roman" w:hAnsi="Times New Roman" w:cs="Times New Roman"/>
          <w:sz w:val="24"/>
          <w:szCs w:val="24"/>
        </w:rPr>
        <w:t xml:space="preserve">, </w:t>
      </w:r>
    </w:p>
    <w:p w14:paraId="0F2E241C" w14:textId="7EB4F139" w:rsidR="00235335" w:rsidRDefault="00235335" w:rsidP="002D73AA">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projekt </w:t>
      </w:r>
      <w:r w:rsidRPr="00235335">
        <w:rPr>
          <w:rFonts w:ascii="Times New Roman" w:hAnsi="Times New Roman" w:cs="Times New Roman"/>
          <w:sz w:val="24"/>
          <w:szCs w:val="24"/>
        </w:rPr>
        <w:t>Best practices and inovations for a sustainable beekeeping in Europe B-THENET Thematic network</w:t>
      </w:r>
      <w:r>
        <w:rPr>
          <w:rFonts w:ascii="Times New Roman" w:hAnsi="Times New Roman" w:cs="Times New Roman"/>
          <w:sz w:val="24"/>
          <w:szCs w:val="24"/>
        </w:rPr>
        <w:t xml:space="preserve"> (Horizon projekt),</w:t>
      </w:r>
    </w:p>
    <w:p w14:paraId="6E756AD9" w14:textId="34EE1AAD" w:rsidR="00B470AC" w:rsidRDefault="00B470AC" w:rsidP="002D73A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projekt </w:t>
      </w:r>
      <w:r w:rsidRPr="00B470AC">
        <w:rPr>
          <w:rFonts w:ascii="Times New Roman" w:hAnsi="Times New Roman" w:cs="Times New Roman"/>
          <w:sz w:val="24"/>
          <w:szCs w:val="24"/>
        </w:rPr>
        <w:t>LUMINATE - inovativni EU Horizon projekt koji donosi revoluciju u regeneraciji hrskavice koristeći tehnologiju bioprintanja</w:t>
      </w:r>
      <w:r>
        <w:rPr>
          <w:rFonts w:ascii="Times New Roman" w:hAnsi="Times New Roman" w:cs="Times New Roman"/>
          <w:sz w:val="24"/>
          <w:szCs w:val="24"/>
        </w:rPr>
        <w:t>,</w:t>
      </w:r>
    </w:p>
    <w:p w14:paraId="756CC4A3" w14:textId="2C5157F7" w:rsidR="00B470AC" w:rsidRPr="001E2B7E" w:rsidRDefault="00B470AC" w:rsidP="002D73A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B470AC">
        <w:rPr>
          <w:rFonts w:ascii="Times New Roman" w:hAnsi="Times New Roman" w:cs="Times New Roman"/>
          <w:sz w:val="24"/>
          <w:szCs w:val="24"/>
        </w:rPr>
        <w:t>projeka OSTEOproSPINE u programu Obzor 2020 (Research and Innovation Action – Personalised Medicine</w:t>
      </w:r>
      <w:r>
        <w:rPr>
          <w:rFonts w:ascii="Times New Roman" w:hAnsi="Times New Roman" w:cs="Times New Roman"/>
          <w:sz w:val="24"/>
          <w:szCs w:val="24"/>
        </w:rPr>
        <w:t>),</w:t>
      </w:r>
    </w:p>
    <w:p w14:paraId="382DAB2E" w14:textId="793C1650" w:rsidR="002D73AA" w:rsidRPr="001E2B7E" w:rsidRDefault="002D73AA" w:rsidP="002D73AA">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w:t>
      </w:r>
      <w:r w:rsidRPr="001E2B7E">
        <w:rPr>
          <w:rFonts w:ascii="Times New Roman" w:hAnsi="Times New Roman" w:cs="Times New Roman"/>
          <w:sz w:val="24"/>
          <w:szCs w:val="24"/>
        </w:rPr>
        <w:tab/>
        <w:t xml:space="preserve">projekt AVIATOR  (Interreg Danube Region, nositeljprojekta: Naučni institut za veterinarstvo Srbija), </w:t>
      </w:r>
    </w:p>
    <w:p w14:paraId="4B0CDB27" w14:textId="1130E457" w:rsidR="002D73AA" w:rsidRPr="001E2B7E" w:rsidRDefault="002D73AA" w:rsidP="002D73AA">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w:t>
      </w:r>
      <w:r w:rsidRPr="001E2B7E">
        <w:rPr>
          <w:rFonts w:ascii="Times New Roman" w:hAnsi="Times New Roman" w:cs="Times New Roman"/>
          <w:sz w:val="24"/>
          <w:szCs w:val="24"/>
        </w:rPr>
        <w:tab/>
        <w:t>projekt SAMESEA – Sustainable Management of Marine Sentinel Species and Human Activities Interaction (IPA-ADRION00096),</w:t>
      </w:r>
    </w:p>
    <w:p w14:paraId="47404008" w14:textId="1BB49907" w:rsidR="002D73AA" w:rsidRPr="001E2B7E" w:rsidRDefault="002D73AA" w:rsidP="002D73AA">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w:t>
      </w:r>
      <w:r w:rsidRPr="001E2B7E">
        <w:rPr>
          <w:rFonts w:ascii="Times New Roman" w:hAnsi="Times New Roman" w:cs="Times New Roman"/>
          <w:sz w:val="24"/>
          <w:szCs w:val="24"/>
        </w:rPr>
        <w:tab/>
        <w:t>VETCOM – Reaching beyond borders: Enhancing communication and english proficiency in veterinary medicine education (Erasmus +, nositelj Fakultet veterinarske medicine Skopje),</w:t>
      </w:r>
    </w:p>
    <w:p w14:paraId="110CD4B3" w14:textId="48DA40D4" w:rsidR="002D73AA" w:rsidRPr="001E2B7E" w:rsidRDefault="002D73AA" w:rsidP="002D73AA">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w:t>
      </w:r>
      <w:r w:rsidRPr="001E2B7E">
        <w:rPr>
          <w:rFonts w:ascii="Times New Roman" w:hAnsi="Times New Roman" w:cs="Times New Roman"/>
          <w:sz w:val="24"/>
          <w:szCs w:val="24"/>
        </w:rPr>
        <w:tab/>
        <w:t>SepBIEV-D - Sepsis Biomarker Identification in Extracellular Vesicles of Dogs (HORIZON - Europska komisija).</w:t>
      </w:r>
    </w:p>
    <w:p w14:paraId="21E4B038" w14:textId="77777777" w:rsidR="00B470AC" w:rsidRDefault="00B470AC" w:rsidP="00351FDD">
      <w:pPr>
        <w:spacing w:line="240" w:lineRule="auto"/>
        <w:ind w:firstLine="708"/>
        <w:jc w:val="both"/>
        <w:rPr>
          <w:rFonts w:ascii="Times New Roman" w:hAnsi="Times New Roman" w:cs="Times New Roman"/>
          <w:sz w:val="24"/>
          <w:szCs w:val="24"/>
        </w:rPr>
      </w:pPr>
    </w:p>
    <w:p w14:paraId="2B640F52" w14:textId="47A862D7" w:rsidR="00227D81" w:rsidRPr="001E2B7E" w:rsidRDefault="00F42B90" w:rsidP="00351FDD">
      <w:pPr>
        <w:spacing w:line="240" w:lineRule="auto"/>
        <w:ind w:firstLine="708"/>
        <w:jc w:val="both"/>
        <w:rPr>
          <w:rFonts w:ascii="Times New Roman" w:hAnsi="Times New Roman" w:cs="Times New Roman"/>
          <w:sz w:val="24"/>
          <w:szCs w:val="24"/>
        </w:rPr>
      </w:pPr>
      <w:r w:rsidRPr="001E2B7E">
        <w:rPr>
          <w:rFonts w:ascii="Times New Roman" w:hAnsi="Times New Roman" w:cs="Times New Roman"/>
          <w:sz w:val="24"/>
          <w:szCs w:val="24"/>
        </w:rPr>
        <w:t>1.5. Obrazloženje programa – izvor 61 i 71</w:t>
      </w:r>
    </w:p>
    <w:p w14:paraId="68695C26" w14:textId="4EFC5C83" w:rsidR="00F42B90" w:rsidRPr="001E2B7E" w:rsidRDefault="00F42B90" w:rsidP="00351FDD">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 xml:space="preserve">Na izvoru 61 planirani su prihodi od tekućih donacija neprofitnih organizacija za studentske programe te tekućih donacija od trgovačkih društava. </w:t>
      </w:r>
    </w:p>
    <w:p w14:paraId="38AC859F" w14:textId="7B25FA5D" w:rsidR="00227D81" w:rsidRDefault="00F42B90" w:rsidP="00351FDD">
      <w:pPr>
        <w:spacing w:line="240" w:lineRule="auto"/>
        <w:jc w:val="both"/>
        <w:rPr>
          <w:rFonts w:ascii="Times New Roman" w:hAnsi="Times New Roman" w:cs="Times New Roman"/>
          <w:sz w:val="24"/>
          <w:szCs w:val="24"/>
        </w:rPr>
      </w:pPr>
      <w:r w:rsidRPr="001E2B7E">
        <w:rPr>
          <w:rFonts w:ascii="Times New Roman" w:hAnsi="Times New Roman" w:cs="Times New Roman"/>
          <w:sz w:val="24"/>
          <w:szCs w:val="24"/>
        </w:rPr>
        <w:t xml:space="preserve">Na izvoru 71 </w:t>
      </w:r>
      <w:r w:rsidR="005236FF" w:rsidRPr="001E2B7E">
        <w:rPr>
          <w:rFonts w:ascii="Times New Roman" w:hAnsi="Times New Roman" w:cs="Times New Roman"/>
          <w:sz w:val="24"/>
          <w:szCs w:val="24"/>
        </w:rPr>
        <w:t xml:space="preserve"> </w:t>
      </w:r>
      <w:r w:rsidRPr="001E2B7E">
        <w:rPr>
          <w:rFonts w:ascii="Times New Roman" w:hAnsi="Times New Roman" w:cs="Times New Roman"/>
          <w:sz w:val="24"/>
          <w:szCs w:val="24"/>
        </w:rPr>
        <w:t>planirani su prihodi od otkupa stanova čiji će se prihod u potpunosti pokriti rashodima za tekuće održavanje imovine.</w:t>
      </w:r>
    </w:p>
    <w:p w14:paraId="568CCBA6" w14:textId="77777777" w:rsidR="00B470AC" w:rsidRDefault="00B470AC" w:rsidP="00351FDD">
      <w:pPr>
        <w:spacing w:line="240" w:lineRule="auto"/>
        <w:jc w:val="both"/>
        <w:rPr>
          <w:rFonts w:ascii="Times New Roman" w:hAnsi="Times New Roman" w:cs="Times New Roman"/>
          <w:sz w:val="24"/>
          <w:szCs w:val="24"/>
        </w:rPr>
      </w:pPr>
    </w:p>
    <w:p w14:paraId="7A56F004" w14:textId="77777777" w:rsidR="006F4912" w:rsidRDefault="006F4912" w:rsidP="006F4912">
      <w:pPr>
        <w:spacing w:line="256" w:lineRule="auto"/>
        <w:jc w:val="both"/>
        <w:rPr>
          <w:rFonts w:ascii="Times New Roman" w:eastAsia="Calibri" w:hAnsi="Times New Roman" w:cs="Times New Roman"/>
          <w:b/>
        </w:rPr>
      </w:pPr>
    </w:p>
    <w:p w14:paraId="40F72716" w14:textId="77777777" w:rsidR="006F4912" w:rsidRDefault="006F4912" w:rsidP="006F4912">
      <w:pPr>
        <w:spacing w:line="256" w:lineRule="auto"/>
        <w:jc w:val="both"/>
        <w:rPr>
          <w:rFonts w:ascii="Times New Roman" w:eastAsia="Calibri" w:hAnsi="Times New Roman" w:cs="Times New Roman"/>
          <w:b/>
        </w:rPr>
      </w:pPr>
    </w:p>
    <w:p w14:paraId="689A4A76" w14:textId="77777777" w:rsidR="006F4912" w:rsidRDefault="006F4912" w:rsidP="006F4912">
      <w:pPr>
        <w:spacing w:line="256" w:lineRule="auto"/>
        <w:jc w:val="both"/>
        <w:rPr>
          <w:rFonts w:ascii="Times New Roman" w:eastAsia="Calibri" w:hAnsi="Times New Roman" w:cs="Times New Roman"/>
          <w:b/>
        </w:rPr>
      </w:pPr>
    </w:p>
    <w:p w14:paraId="42097BD1" w14:textId="77777777" w:rsidR="006F4912" w:rsidRDefault="006F4912" w:rsidP="006F4912">
      <w:pPr>
        <w:spacing w:line="256" w:lineRule="auto"/>
        <w:jc w:val="both"/>
        <w:rPr>
          <w:rFonts w:ascii="Times New Roman" w:eastAsia="Calibri" w:hAnsi="Times New Roman" w:cs="Times New Roman"/>
          <w:b/>
        </w:rPr>
      </w:pPr>
    </w:p>
    <w:p w14:paraId="25AD8754" w14:textId="77777777" w:rsidR="006F4912" w:rsidRDefault="006F4912" w:rsidP="006F4912">
      <w:pPr>
        <w:spacing w:line="256" w:lineRule="auto"/>
        <w:jc w:val="both"/>
        <w:rPr>
          <w:rFonts w:ascii="Times New Roman" w:eastAsia="Calibri" w:hAnsi="Times New Roman" w:cs="Times New Roman"/>
          <w:b/>
        </w:rPr>
      </w:pPr>
    </w:p>
    <w:p w14:paraId="24721447" w14:textId="77777777" w:rsidR="006F4912" w:rsidRDefault="006F4912" w:rsidP="006F4912">
      <w:pPr>
        <w:spacing w:line="256" w:lineRule="auto"/>
        <w:jc w:val="both"/>
        <w:rPr>
          <w:rFonts w:ascii="Times New Roman" w:eastAsia="Calibri" w:hAnsi="Times New Roman" w:cs="Times New Roman"/>
          <w:b/>
        </w:rPr>
      </w:pPr>
    </w:p>
    <w:p w14:paraId="2F0902B0" w14:textId="77777777" w:rsidR="006F4912" w:rsidRDefault="006F4912" w:rsidP="006F4912">
      <w:pPr>
        <w:spacing w:line="256" w:lineRule="auto"/>
        <w:jc w:val="both"/>
        <w:rPr>
          <w:rFonts w:ascii="Times New Roman" w:eastAsia="Calibri" w:hAnsi="Times New Roman" w:cs="Times New Roman"/>
          <w:b/>
        </w:rPr>
      </w:pPr>
    </w:p>
    <w:p w14:paraId="5BC65DF9" w14:textId="77777777" w:rsidR="006F4912" w:rsidRDefault="006F4912" w:rsidP="006F4912">
      <w:pPr>
        <w:spacing w:line="256" w:lineRule="auto"/>
        <w:jc w:val="both"/>
        <w:rPr>
          <w:rFonts w:ascii="Times New Roman" w:eastAsia="Calibri" w:hAnsi="Times New Roman" w:cs="Times New Roman"/>
          <w:b/>
        </w:rPr>
      </w:pPr>
    </w:p>
    <w:p w14:paraId="577068AE" w14:textId="77777777" w:rsidR="006F4912" w:rsidRDefault="006F4912" w:rsidP="006F4912">
      <w:pPr>
        <w:spacing w:line="256" w:lineRule="auto"/>
        <w:jc w:val="both"/>
        <w:rPr>
          <w:rFonts w:ascii="Times New Roman" w:eastAsia="Calibri" w:hAnsi="Times New Roman" w:cs="Times New Roman"/>
          <w:b/>
        </w:rPr>
      </w:pPr>
    </w:p>
    <w:p w14:paraId="7C255CFC" w14:textId="77777777" w:rsidR="006F4912" w:rsidRDefault="006F4912" w:rsidP="006F4912">
      <w:pPr>
        <w:spacing w:line="256" w:lineRule="auto"/>
        <w:jc w:val="both"/>
        <w:rPr>
          <w:rFonts w:ascii="Times New Roman" w:eastAsia="Calibri" w:hAnsi="Times New Roman" w:cs="Times New Roman"/>
          <w:b/>
        </w:rPr>
      </w:pPr>
    </w:p>
    <w:p w14:paraId="37D64A2F" w14:textId="77777777" w:rsidR="006F4912" w:rsidRDefault="006F4912" w:rsidP="006F4912">
      <w:pPr>
        <w:spacing w:line="256" w:lineRule="auto"/>
        <w:jc w:val="both"/>
        <w:rPr>
          <w:rFonts w:ascii="Times New Roman" w:eastAsia="Calibri" w:hAnsi="Times New Roman" w:cs="Times New Roman"/>
          <w:b/>
        </w:rPr>
      </w:pPr>
    </w:p>
    <w:p w14:paraId="274EEEBE" w14:textId="77777777" w:rsidR="006F4912" w:rsidRDefault="006F4912" w:rsidP="006F4912">
      <w:pPr>
        <w:spacing w:line="256" w:lineRule="auto"/>
        <w:jc w:val="both"/>
        <w:rPr>
          <w:rFonts w:ascii="Times New Roman" w:eastAsia="Calibri" w:hAnsi="Times New Roman" w:cs="Times New Roman"/>
          <w:b/>
        </w:rPr>
      </w:pPr>
    </w:p>
    <w:p w14:paraId="4C76A136" w14:textId="77777777" w:rsidR="006F4912" w:rsidRDefault="006F4912" w:rsidP="006F4912">
      <w:pPr>
        <w:spacing w:line="256" w:lineRule="auto"/>
        <w:jc w:val="both"/>
        <w:rPr>
          <w:rFonts w:ascii="Times New Roman" w:eastAsia="Calibri" w:hAnsi="Times New Roman" w:cs="Times New Roman"/>
          <w:b/>
        </w:rPr>
      </w:pPr>
    </w:p>
    <w:p w14:paraId="4BF9DF3C" w14:textId="77777777" w:rsidR="006F4912" w:rsidRDefault="006F4912" w:rsidP="006F4912">
      <w:pPr>
        <w:spacing w:line="256" w:lineRule="auto"/>
        <w:jc w:val="both"/>
        <w:rPr>
          <w:rFonts w:ascii="Times New Roman" w:eastAsia="Calibri" w:hAnsi="Times New Roman" w:cs="Times New Roman"/>
          <w:b/>
        </w:rPr>
      </w:pPr>
    </w:p>
    <w:p w14:paraId="3158B652" w14:textId="77777777" w:rsidR="006F4912" w:rsidRDefault="006F4912" w:rsidP="006F4912">
      <w:pPr>
        <w:spacing w:line="256" w:lineRule="auto"/>
        <w:jc w:val="both"/>
        <w:rPr>
          <w:rFonts w:ascii="Times New Roman" w:eastAsia="Calibri" w:hAnsi="Times New Roman" w:cs="Times New Roman"/>
          <w:b/>
        </w:rPr>
      </w:pPr>
    </w:p>
    <w:p w14:paraId="329DB045" w14:textId="77777777" w:rsidR="006F4912" w:rsidRDefault="006F4912" w:rsidP="006F4912">
      <w:pPr>
        <w:spacing w:line="256" w:lineRule="auto"/>
        <w:jc w:val="both"/>
        <w:rPr>
          <w:rFonts w:ascii="Times New Roman" w:eastAsia="Calibri" w:hAnsi="Times New Roman" w:cs="Times New Roman"/>
          <w:b/>
        </w:rPr>
      </w:pPr>
    </w:p>
    <w:p w14:paraId="598A17D6" w14:textId="77777777" w:rsidR="006F4912" w:rsidRDefault="006F4912" w:rsidP="006F4912">
      <w:pPr>
        <w:spacing w:line="256" w:lineRule="auto"/>
        <w:jc w:val="both"/>
        <w:rPr>
          <w:rFonts w:ascii="Times New Roman" w:eastAsia="Calibri" w:hAnsi="Times New Roman" w:cs="Times New Roman"/>
          <w:b/>
        </w:rPr>
      </w:pPr>
    </w:p>
    <w:p w14:paraId="0F810B03" w14:textId="77777777" w:rsidR="006F4912" w:rsidRDefault="006F4912" w:rsidP="006F4912">
      <w:pPr>
        <w:spacing w:line="256" w:lineRule="auto"/>
        <w:jc w:val="both"/>
        <w:rPr>
          <w:rFonts w:ascii="Times New Roman" w:eastAsia="Calibri" w:hAnsi="Times New Roman" w:cs="Times New Roman"/>
          <w:b/>
        </w:rPr>
      </w:pPr>
    </w:p>
    <w:p w14:paraId="072C524D" w14:textId="77777777" w:rsidR="006F4912" w:rsidRDefault="006F4912" w:rsidP="006F4912">
      <w:pPr>
        <w:spacing w:line="256" w:lineRule="auto"/>
        <w:jc w:val="both"/>
        <w:rPr>
          <w:rFonts w:ascii="Times New Roman" w:eastAsia="Calibri" w:hAnsi="Times New Roman" w:cs="Times New Roman"/>
          <w:b/>
        </w:rPr>
      </w:pPr>
    </w:p>
    <w:p w14:paraId="611E993B" w14:textId="4A5E166F" w:rsidR="006F4912" w:rsidRPr="006F4912" w:rsidRDefault="006F4912" w:rsidP="006F4912">
      <w:pPr>
        <w:spacing w:line="256" w:lineRule="auto"/>
        <w:jc w:val="both"/>
        <w:rPr>
          <w:rFonts w:ascii="Times New Roman" w:eastAsia="Calibri" w:hAnsi="Times New Roman" w:cs="Times New Roman"/>
          <w:b/>
          <w:sz w:val="24"/>
          <w:szCs w:val="24"/>
        </w:rPr>
      </w:pPr>
      <w:r w:rsidRPr="006F4912">
        <w:rPr>
          <w:rFonts w:ascii="Times New Roman" w:eastAsia="Calibri" w:hAnsi="Times New Roman" w:cs="Times New Roman"/>
          <w:b/>
        </w:rPr>
        <w:t xml:space="preserve">CILJ 1: </w:t>
      </w:r>
      <w:r w:rsidRPr="006F4912">
        <w:rPr>
          <w:rFonts w:ascii="Times New Roman" w:eastAsia="Calibri" w:hAnsi="Times New Roman" w:cs="Times New Roman"/>
          <w:b/>
          <w:sz w:val="24"/>
          <w:szCs w:val="24"/>
        </w:rPr>
        <w:t>PODIZANJE ZNANSTVENE IZVRSNOSTI</w:t>
      </w:r>
    </w:p>
    <w:p w14:paraId="6DE94EBD" w14:textId="77777777" w:rsidR="006F4912" w:rsidRPr="006F4912" w:rsidRDefault="006F4912" w:rsidP="006F4912">
      <w:pPr>
        <w:spacing w:line="256" w:lineRule="auto"/>
        <w:jc w:val="both"/>
        <w:rPr>
          <w:rFonts w:ascii="Times New Roman" w:eastAsia="Calibri" w:hAnsi="Times New Roman" w:cs="Times New Roman"/>
          <w:b/>
          <w:sz w:val="24"/>
          <w:szCs w:val="24"/>
        </w:rPr>
      </w:pPr>
      <w:r w:rsidRPr="006F4912">
        <w:rPr>
          <w:rFonts w:ascii="Times New Roman" w:eastAsia="Calibri" w:hAnsi="Times New Roman" w:cs="Times New Roman"/>
          <w:b/>
          <w:sz w:val="24"/>
          <w:szCs w:val="24"/>
        </w:rPr>
        <w:t>1.1. Jačanje međunarodne znanstvene suradnje i znanstvene aktivnosti</w:t>
      </w:r>
    </w:p>
    <w:p w14:paraId="2A7EA57E" w14:textId="77777777" w:rsidR="006F4912" w:rsidRPr="006F4912" w:rsidRDefault="006F4912" w:rsidP="006F4912">
      <w:pPr>
        <w:spacing w:line="256" w:lineRule="auto"/>
        <w:jc w:val="both"/>
        <w:rPr>
          <w:rFonts w:ascii="Times New Roman" w:eastAsia="Calibri" w:hAnsi="Times New Roman" w:cs="Times New Roman"/>
          <w:sz w:val="24"/>
          <w:szCs w:val="24"/>
          <w:shd w:val="clear" w:color="auto" w:fill="FFFFFF"/>
        </w:rPr>
      </w:pPr>
      <w:r w:rsidRPr="006F4912">
        <w:rPr>
          <w:rFonts w:ascii="Times New Roman" w:eastAsia="Calibri" w:hAnsi="Times New Roman" w:cs="Times New Roman"/>
          <w:sz w:val="24"/>
          <w:szCs w:val="24"/>
          <w:shd w:val="clear" w:color="auto" w:fill="FFFFFF"/>
        </w:rPr>
        <w:t>Fakultet  je raspisao natječaj za financiranje institucionalnih projekata u sklopu NPOO i proveo potrebnu proceduru prijave i evaluacije projektnih prijedloga te provedbe projekata prihvaćenih za financiranje znanstveno-istraživačke djelatnosti na Fakultetu.</w:t>
      </w:r>
    </w:p>
    <w:p w14:paraId="579F9DED" w14:textId="77777777" w:rsidR="006F4912" w:rsidRPr="006F4912" w:rsidRDefault="006F4912" w:rsidP="006F4912">
      <w:pPr>
        <w:spacing w:line="256" w:lineRule="auto"/>
        <w:jc w:val="both"/>
        <w:rPr>
          <w:rFonts w:ascii="Times New Roman" w:eastAsia="Calibri" w:hAnsi="Times New Roman" w:cs="Times New Roman"/>
          <w:sz w:val="24"/>
          <w:szCs w:val="24"/>
          <w:shd w:val="clear" w:color="auto" w:fill="FFFFFF"/>
        </w:rPr>
      </w:pPr>
      <w:r w:rsidRPr="006F4912">
        <w:rPr>
          <w:rFonts w:ascii="Times New Roman" w:eastAsia="Calibri" w:hAnsi="Times New Roman" w:cs="Times New Roman"/>
          <w:sz w:val="24"/>
          <w:szCs w:val="24"/>
          <w:shd w:val="clear" w:color="auto" w:fill="FFFFFF"/>
        </w:rPr>
        <w:t>Jednogodišnja potpora projektima s pozitivno ocijenjenim, ali nefinanciranim prijavama (rezervna lista), radi pripreme za ponovno podnošenje. Financiraju se istraživanja za preliminarne rezultate, putni troškovi i troškovi objavljivanja. Potpora je namijenjena isključivo kompetitivnim projektima, a uvjet je podnošenje nove prijave po završetku. Moguća je i potpora za izradu novog prijedloga uz opravdanje potrebe. Predviđeno je da paketi potpore iznose do 10.000 € po prijedlogu s približno 6 timova koji će se financirati svake godine.</w:t>
      </w:r>
    </w:p>
    <w:p w14:paraId="217A6E0F" w14:textId="77777777" w:rsidR="006F4912" w:rsidRPr="006F4912" w:rsidRDefault="006F4912" w:rsidP="006F4912">
      <w:pPr>
        <w:spacing w:after="0" w:line="256" w:lineRule="auto"/>
        <w:ind w:firstLine="708"/>
        <w:jc w:val="both"/>
        <w:rPr>
          <w:rFonts w:ascii="Times New Roman" w:eastAsia="Calibri" w:hAnsi="Times New Roman" w:cs="Times New Roman"/>
          <w:b/>
          <w:sz w:val="24"/>
          <w:szCs w:val="24"/>
        </w:rPr>
      </w:pPr>
    </w:p>
    <w:p w14:paraId="70DCEA92" w14:textId="77777777" w:rsidR="006F4912" w:rsidRPr="006F4912" w:rsidRDefault="006F4912" w:rsidP="006F4912">
      <w:pPr>
        <w:spacing w:line="256" w:lineRule="auto"/>
        <w:jc w:val="both"/>
        <w:rPr>
          <w:rFonts w:ascii="Times New Roman" w:eastAsia="Calibri" w:hAnsi="Times New Roman" w:cs="Times New Roman"/>
          <w:b/>
          <w:sz w:val="24"/>
          <w:szCs w:val="24"/>
        </w:rPr>
      </w:pPr>
      <w:r w:rsidRPr="006F4912">
        <w:rPr>
          <w:rFonts w:ascii="Times New Roman" w:eastAsia="Calibri" w:hAnsi="Times New Roman" w:cs="Times New Roman"/>
          <w:b/>
          <w:sz w:val="24"/>
          <w:szCs w:val="24"/>
        </w:rPr>
        <w:t>1.2. Jačanje ljudskih potencijala za znanstveni rad</w:t>
      </w:r>
    </w:p>
    <w:p w14:paraId="661FDAEC" w14:textId="77777777" w:rsidR="006F4912" w:rsidRPr="006F4912" w:rsidRDefault="006F4912" w:rsidP="006F4912">
      <w:pPr>
        <w:spacing w:line="256" w:lineRule="auto"/>
        <w:jc w:val="both"/>
        <w:rPr>
          <w:rFonts w:ascii="Times New Roman" w:eastAsia="Calibri" w:hAnsi="Times New Roman" w:cs="Times New Roman"/>
          <w:sz w:val="24"/>
          <w:szCs w:val="24"/>
          <w:shd w:val="clear" w:color="auto" w:fill="FFFFFF"/>
        </w:rPr>
      </w:pPr>
      <w:r w:rsidRPr="006F4912">
        <w:rPr>
          <w:rFonts w:ascii="Times New Roman" w:eastAsia="Calibri" w:hAnsi="Times New Roman" w:cs="Times New Roman"/>
          <w:sz w:val="24"/>
          <w:szCs w:val="24"/>
          <w:shd w:val="clear" w:color="auto" w:fill="FFFFFF"/>
        </w:rPr>
        <w:t>Aktivnost pruža podršku mladim znanstvenicima kroz posebne obrazovne programe za stjecanje vještina poput pisanja znanstvenih radova i projekata, javnog nastupa, odnosa s javnošću, rukovođenja i komercijalizacije rezultata istraživanja. Za ovu mjeru predviđen je godišnji izdatak od 20.000 €, koji bi trebao pokriti do 15 zasebnih tečajeva.</w:t>
      </w:r>
    </w:p>
    <w:p w14:paraId="6F1E818C" w14:textId="77777777" w:rsidR="006F4912" w:rsidRPr="006F4912" w:rsidRDefault="006F4912" w:rsidP="006F4912">
      <w:pPr>
        <w:spacing w:after="0" w:line="256" w:lineRule="auto"/>
        <w:jc w:val="both"/>
        <w:rPr>
          <w:rFonts w:ascii="Times New Roman" w:eastAsia="Calibri" w:hAnsi="Times New Roman" w:cs="Times New Roman"/>
          <w:sz w:val="24"/>
          <w:szCs w:val="24"/>
        </w:rPr>
      </w:pPr>
    </w:p>
    <w:p w14:paraId="005CD4B2" w14:textId="77777777" w:rsidR="006F4912" w:rsidRPr="006F4912" w:rsidRDefault="006F4912" w:rsidP="006F4912">
      <w:pPr>
        <w:spacing w:line="256" w:lineRule="auto"/>
        <w:jc w:val="both"/>
        <w:rPr>
          <w:rFonts w:ascii="Times New Roman" w:eastAsia="Calibri" w:hAnsi="Times New Roman" w:cs="Times New Roman"/>
          <w:b/>
          <w:sz w:val="24"/>
          <w:szCs w:val="24"/>
        </w:rPr>
      </w:pPr>
      <w:r w:rsidRPr="006F4912">
        <w:rPr>
          <w:rFonts w:ascii="Times New Roman" w:eastAsia="Calibri" w:hAnsi="Times New Roman" w:cs="Times New Roman"/>
          <w:b/>
          <w:sz w:val="24"/>
          <w:szCs w:val="24"/>
        </w:rPr>
        <w:t>1.3. Unaprjeđenje istraživačke infrastrukture</w:t>
      </w:r>
    </w:p>
    <w:p w14:paraId="04585575" w14:textId="77777777" w:rsidR="006F4912" w:rsidRPr="006F4912" w:rsidRDefault="006F4912" w:rsidP="006F4912">
      <w:pPr>
        <w:spacing w:line="256" w:lineRule="auto"/>
        <w:jc w:val="both"/>
        <w:rPr>
          <w:rFonts w:ascii="Times New Roman" w:eastAsia="Calibri" w:hAnsi="Times New Roman" w:cs="Times New Roman"/>
          <w:sz w:val="24"/>
          <w:szCs w:val="24"/>
          <w:shd w:val="clear" w:color="auto" w:fill="FFFFFF"/>
        </w:rPr>
      </w:pPr>
      <w:r w:rsidRPr="006F4912">
        <w:rPr>
          <w:rFonts w:ascii="Times New Roman" w:eastAsia="Calibri" w:hAnsi="Times New Roman" w:cs="Times New Roman"/>
          <w:sz w:val="24"/>
          <w:szCs w:val="24"/>
          <w:shd w:val="clear" w:color="auto" w:fill="FFFFFF"/>
        </w:rPr>
        <w:t>Sukladno zastarjelosti prostorne infrastrukture financirati će se uređenje i prilagoda suvremenim zahtjevima u prostoru jedinice intenzivne skrbi malih životinja (Zgrada Klinika) i osuvremenjavanje prostora patološke sekcijske dvorane s naglaskom na prilgodbe sekciji velikih životinja. Opisani prostori služe kao nastavni i znanstveni poligoni na svim razinama studijskih programa.</w:t>
      </w:r>
    </w:p>
    <w:p w14:paraId="4BD32419" w14:textId="77777777" w:rsidR="006F4912" w:rsidRPr="006F4912" w:rsidRDefault="006F4912" w:rsidP="006F4912">
      <w:pPr>
        <w:spacing w:after="0" w:line="256" w:lineRule="auto"/>
        <w:ind w:firstLine="708"/>
        <w:jc w:val="both"/>
        <w:rPr>
          <w:rFonts w:ascii="Times New Roman" w:eastAsia="Calibri" w:hAnsi="Times New Roman" w:cs="Times New Roman"/>
          <w:sz w:val="24"/>
          <w:szCs w:val="24"/>
          <w:shd w:val="clear" w:color="auto" w:fill="FFFFFF"/>
        </w:rPr>
      </w:pPr>
    </w:p>
    <w:p w14:paraId="7E1CBCF0" w14:textId="77777777" w:rsidR="006F4912" w:rsidRPr="006F4912" w:rsidRDefault="006F4912" w:rsidP="006F4912">
      <w:pPr>
        <w:spacing w:line="256" w:lineRule="auto"/>
        <w:jc w:val="both"/>
        <w:rPr>
          <w:rFonts w:ascii="Times New Roman" w:eastAsia="Calibri" w:hAnsi="Times New Roman" w:cs="Times New Roman"/>
          <w:b/>
          <w:sz w:val="24"/>
          <w:szCs w:val="24"/>
        </w:rPr>
      </w:pPr>
      <w:r w:rsidRPr="006F4912">
        <w:rPr>
          <w:rFonts w:ascii="Times New Roman" w:eastAsia="Calibri" w:hAnsi="Times New Roman" w:cs="Times New Roman"/>
          <w:b/>
          <w:sz w:val="24"/>
          <w:szCs w:val="24"/>
        </w:rPr>
        <w:t>1.4. Jačanje interdisciplinarnosti znanstvenog rada</w:t>
      </w:r>
    </w:p>
    <w:p w14:paraId="2F8945CA" w14:textId="77777777" w:rsidR="006F4912" w:rsidRPr="006F4912" w:rsidRDefault="006F4912" w:rsidP="006F4912">
      <w:pPr>
        <w:spacing w:line="256" w:lineRule="auto"/>
        <w:jc w:val="both"/>
        <w:rPr>
          <w:rFonts w:ascii="Times New Roman" w:eastAsia="Calibri" w:hAnsi="Times New Roman" w:cs="Times New Roman"/>
          <w:sz w:val="24"/>
          <w:szCs w:val="24"/>
          <w:shd w:val="clear" w:color="auto" w:fill="FFFFFF"/>
        </w:rPr>
      </w:pPr>
      <w:r w:rsidRPr="006F4912">
        <w:rPr>
          <w:rFonts w:ascii="Times New Roman" w:eastAsia="Calibri" w:hAnsi="Times New Roman" w:cs="Times New Roman"/>
          <w:sz w:val="24"/>
          <w:szCs w:val="24"/>
          <w:shd w:val="clear" w:color="auto" w:fill="FFFFFF"/>
        </w:rPr>
        <w:t>Jednogodišnja potpora projektima s pozitivno ocijenjenim, ali nefinanciranim prijavama (rezervna lista), radi pripreme za ponovno podnošenje. Financiraju se istraživanja za preliminarne rezultate, putni troškovi i troškovi objavljivanja. Potpora je namijenjena isključivo kompetitivnim projektima, a uvjet je podnošenje nove prijave po završetku. Moguća je i potpora za izradu novog prijedloga uz opravdanje potrebe. Predviđeno je da paketi potpore iznose do 10.000 € po prijedlogu s približno 6 timova koji će se financirati svake godine.</w:t>
      </w:r>
    </w:p>
    <w:p w14:paraId="404720F0" w14:textId="77777777" w:rsidR="006F4912" w:rsidRPr="006F4912" w:rsidRDefault="006F4912" w:rsidP="006F4912">
      <w:pPr>
        <w:spacing w:after="0" w:line="256" w:lineRule="auto"/>
        <w:ind w:firstLine="708"/>
        <w:jc w:val="both"/>
        <w:rPr>
          <w:rFonts w:ascii="Times New Roman" w:eastAsia="Calibri" w:hAnsi="Times New Roman" w:cs="Times New Roman"/>
        </w:rPr>
      </w:pPr>
    </w:p>
    <w:tbl>
      <w:tblPr>
        <w:tblW w:w="9683" w:type="dxa"/>
        <w:tblInd w:w="93" w:type="dxa"/>
        <w:tblLayout w:type="fixed"/>
        <w:tblLook w:val="00A0" w:firstRow="1" w:lastRow="0" w:firstColumn="1" w:lastColumn="0" w:noHBand="0" w:noVBand="0"/>
      </w:tblPr>
      <w:tblGrid>
        <w:gridCol w:w="1603"/>
        <w:gridCol w:w="1560"/>
        <w:gridCol w:w="850"/>
        <w:gridCol w:w="1134"/>
        <w:gridCol w:w="1276"/>
        <w:gridCol w:w="1134"/>
        <w:gridCol w:w="1105"/>
        <w:gridCol w:w="1021"/>
      </w:tblGrid>
      <w:tr w:rsidR="006F4912" w:rsidRPr="006F4912" w14:paraId="0E2916D2" w14:textId="77777777" w:rsidTr="00AC358B">
        <w:trPr>
          <w:trHeight w:val="691"/>
        </w:trPr>
        <w:tc>
          <w:tcPr>
            <w:tcW w:w="160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3C766C4"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Pokazatelj</w:t>
            </w:r>
          </w:p>
          <w:p w14:paraId="13BE1CEF"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rezultata</w:t>
            </w:r>
          </w:p>
          <w:p w14:paraId="7F68CB58"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p>
        </w:tc>
        <w:tc>
          <w:tcPr>
            <w:tcW w:w="1560" w:type="dxa"/>
            <w:tcBorders>
              <w:top w:val="single" w:sz="4" w:space="0" w:color="auto"/>
              <w:left w:val="nil"/>
              <w:bottom w:val="single" w:sz="4" w:space="0" w:color="auto"/>
              <w:right w:val="single" w:sz="4" w:space="0" w:color="auto"/>
            </w:tcBorders>
            <w:shd w:val="clear" w:color="auto" w:fill="D9D9D9"/>
            <w:vAlign w:val="center"/>
          </w:tcPr>
          <w:p w14:paraId="724DFCF5"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Definicija</w:t>
            </w:r>
          </w:p>
        </w:tc>
        <w:tc>
          <w:tcPr>
            <w:tcW w:w="850" w:type="dxa"/>
            <w:tcBorders>
              <w:top w:val="single" w:sz="4" w:space="0" w:color="auto"/>
              <w:left w:val="nil"/>
              <w:bottom w:val="single" w:sz="4" w:space="0" w:color="auto"/>
              <w:right w:val="single" w:sz="4" w:space="0" w:color="auto"/>
            </w:tcBorders>
            <w:shd w:val="clear" w:color="auto" w:fill="D9D9D9"/>
            <w:vAlign w:val="center"/>
          </w:tcPr>
          <w:p w14:paraId="34EE24F0"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2F0BCE40"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Polazna vrijednost 2025.</w:t>
            </w:r>
          </w:p>
        </w:tc>
        <w:tc>
          <w:tcPr>
            <w:tcW w:w="1276" w:type="dxa"/>
            <w:tcBorders>
              <w:top w:val="single" w:sz="4" w:space="0" w:color="auto"/>
              <w:left w:val="nil"/>
              <w:bottom w:val="single" w:sz="4" w:space="0" w:color="auto"/>
              <w:right w:val="single" w:sz="4" w:space="0" w:color="auto"/>
            </w:tcBorders>
            <w:shd w:val="clear" w:color="auto" w:fill="D9D9D9"/>
            <w:vAlign w:val="center"/>
          </w:tcPr>
          <w:p w14:paraId="72F43687"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1DDCCB9C"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Ciljana vrijednost 2026.</w:t>
            </w:r>
          </w:p>
        </w:tc>
        <w:tc>
          <w:tcPr>
            <w:tcW w:w="1105" w:type="dxa"/>
            <w:tcBorders>
              <w:top w:val="single" w:sz="4" w:space="0" w:color="auto"/>
              <w:left w:val="nil"/>
              <w:bottom w:val="single" w:sz="4" w:space="0" w:color="auto"/>
              <w:right w:val="single" w:sz="4" w:space="0" w:color="auto"/>
            </w:tcBorders>
            <w:shd w:val="clear" w:color="auto" w:fill="D9D9D9"/>
            <w:vAlign w:val="center"/>
          </w:tcPr>
          <w:p w14:paraId="3A7BEF2C"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Ciljana vrijednost 2027.</w:t>
            </w:r>
          </w:p>
        </w:tc>
        <w:tc>
          <w:tcPr>
            <w:tcW w:w="1021" w:type="dxa"/>
            <w:tcBorders>
              <w:top w:val="single" w:sz="4" w:space="0" w:color="auto"/>
              <w:left w:val="nil"/>
              <w:bottom w:val="single" w:sz="4" w:space="0" w:color="auto"/>
              <w:right w:val="single" w:sz="4" w:space="0" w:color="auto"/>
            </w:tcBorders>
            <w:shd w:val="clear" w:color="auto" w:fill="D9D9D9"/>
            <w:vAlign w:val="center"/>
          </w:tcPr>
          <w:p w14:paraId="3F933A1C"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Ciljana vrijednost 2028.</w:t>
            </w:r>
          </w:p>
        </w:tc>
      </w:tr>
      <w:tr w:rsidR="006F4912" w:rsidRPr="006F4912" w14:paraId="76841279"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595D372D"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 xml:space="preserve">Broj uspješnih projektnih prijava na kompetitivne izvore financiranja </w:t>
            </w:r>
          </w:p>
        </w:tc>
        <w:tc>
          <w:tcPr>
            <w:tcW w:w="1560" w:type="dxa"/>
            <w:tcBorders>
              <w:top w:val="single" w:sz="4" w:space="0" w:color="auto"/>
              <w:left w:val="nil"/>
              <w:bottom w:val="single" w:sz="4" w:space="0" w:color="auto"/>
              <w:right w:val="single" w:sz="4" w:space="0" w:color="auto"/>
            </w:tcBorders>
            <w:noWrap/>
            <w:vAlign w:val="center"/>
          </w:tcPr>
          <w:p w14:paraId="681A9EB9" w14:textId="77777777" w:rsidR="006F4912" w:rsidRPr="006F4912" w:rsidRDefault="006F4912" w:rsidP="006F4912">
            <w:pPr>
              <w:spacing w:line="256" w:lineRule="auto"/>
              <w:rPr>
                <w:rFonts w:ascii="Times New Roman" w:eastAsia="Calibri" w:hAnsi="Times New Roman" w:cs="Times New Roman"/>
                <w:bCs/>
                <w:shd w:val="clear" w:color="auto" w:fill="E7E6E6"/>
              </w:rPr>
            </w:pPr>
            <w:r w:rsidRPr="006F4912">
              <w:rPr>
                <w:rFonts w:ascii="Times New Roman" w:eastAsia="Calibri" w:hAnsi="Times New Roman" w:cs="Times New Roman"/>
                <w:bCs/>
              </w:rPr>
              <w:t>Povećanje sudjelovanja u kompetitivnom projektnom financiranju</w:t>
            </w:r>
            <w:r w:rsidRPr="006F4912">
              <w:rPr>
                <w:rFonts w:ascii="Times New Roman" w:eastAsia="Calibri" w:hAnsi="Times New Roman" w:cs="Times New Roman"/>
                <w:bCs/>
                <w:shd w:val="clear" w:color="auto" w:fill="E7E6E6"/>
              </w:rPr>
              <w:t xml:space="preserve"> </w:t>
            </w:r>
          </w:p>
          <w:p w14:paraId="60481631" w14:textId="77777777" w:rsidR="006F4912" w:rsidRPr="006F4912" w:rsidRDefault="006F4912" w:rsidP="006F4912">
            <w:pPr>
              <w:spacing w:after="0" w:line="240" w:lineRule="auto"/>
              <w:rPr>
                <w:rFonts w:ascii="Times New Roman" w:eastAsia="Times New Roman" w:hAnsi="Times New Roman" w:cs="Times New Roman"/>
                <w:bCs/>
              </w:rPr>
            </w:pPr>
          </w:p>
        </w:tc>
        <w:tc>
          <w:tcPr>
            <w:tcW w:w="850" w:type="dxa"/>
            <w:tcBorders>
              <w:top w:val="single" w:sz="4" w:space="0" w:color="auto"/>
              <w:left w:val="nil"/>
              <w:bottom w:val="single" w:sz="4" w:space="0" w:color="auto"/>
              <w:right w:val="single" w:sz="4" w:space="0" w:color="auto"/>
            </w:tcBorders>
            <w:noWrap/>
            <w:vAlign w:val="center"/>
          </w:tcPr>
          <w:p w14:paraId="488840B9"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2E27DAC4"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9</w:t>
            </w:r>
          </w:p>
        </w:tc>
        <w:tc>
          <w:tcPr>
            <w:tcW w:w="1276" w:type="dxa"/>
            <w:tcBorders>
              <w:top w:val="single" w:sz="4" w:space="0" w:color="auto"/>
              <w:left w:val="nil"/>
              <w:bottom w:val="single" w:sz="4" w:space="0" w:color="auto"/>
              <w:right w:val="single" w:sz="4" w:space="0" w:color="auto"/>
            </w:tcBorders>
            <w:noWrap/>
            <w:vAlign w:val="center"/>
          </w:tcPr>
          <w:p w14:paraId="4A0057B6"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 za znanost, poslijedipl.studije i međ. suradnju</w:t>
            </w:r>
          </w:p>
        </w:tc>
        <w:tc>
          <w:tcPr>
            <w:tcW w:w="1134" w:type="dxa"/>
            <w:tcBorders>
              <w:top w:val="single" w:sz="4" w:space="0" w:color="auto"/>
              <w:left w:val="nil"/>
              <w:bottom w:val="single" w:sz="4" w:space="0" w:color="auto"/>
              <w:right w:val="single" w:sz="4" w:space="0" w:color="auto"/>
            </w:tcBorders>
            <w:noWrap/>
            <w:vAlign w:val="center"/>
          </w:tcPr>
          <w:p w14:paraId="0A31B80A"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22</w:t>
            </w:r>
          </w:p>
        </w:tc>
        <w:tc>
          <w:tcPr>
            <w:tcW w:w="1105" w:type="dxa"/>
            <w:tcBorders>
              <w:top w:val="single" w:sz="4" w:space="0" w:color="auto"/>
              <w:left w:val="nil"/>
              <w:bottom w:val="single" w:sz="4" w:space="0" w:color="auto"/>
              <w:right w:val="single" w:sz="4" w:space="0" w:color="auto"/>
            </w:tcBorders>
            <w:noWrap/>
            <w:vAlign w:val="center"/>
          </w:tcPr>
          <w:p w14:paraId="306DFFB9"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36</w:t>
            </w:r>
          </w:p>
        </w:tc>
        <w:tc>
          <w:tcPr>
            <w:tcW w:w="1021" w:type="dxa"/>
            <w:tcBorders>
              <w:top w:val="single" w:sz="4" w:space="0" w:color="auto"/>
              <w:left w:val="nil"/>
              <w:bottom w:val="single" w:sz="4" w:space="0" w:color="auto"/>
              <w:right w:val="single" w:sz="4" w:space="0" w:color="auto"/>
            </w:tcBorders>
            <w:noWrap/>
            <w:vAlign w:val="center"/>
          </w:tcPr>
          <w:p w14:paraId="06F81681"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39</w:t>
            </w:r>
          </w:p>
        </w:tc>
      </w:tr>
      <w:tr w:rsidR="006F4912" w:rsidRPr="006F4912" w14:paraId="0DF7AC64"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43C5B454"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 xml:space="preserve">Broj znanstvenih radova </w:t>
            </w:r>
          </w:p>
        </w:tc>
        <w:tc>
          <w:tcPr>
            <w:tcW w:w="1560" w:type="dxa"/>
            <w:tcBorders>
              <w:top w:val="single" w:sz="4" w:space="0" w:color="auto"/>
              <w:left w:val="nil"/>
              <w:bottom w:val="single" w:sz="4" w:space="0" w:color="auto"/>
              <w:right w:val="single" w:sz="4" w:space="0" w:color="auto"/>
            </w:tcBorders>
            <w:noWrap/>
            <w:vAlign w:val="center"/>
          </w:tcPr>
          <w:p w14:paraId="12A3C479" w14:textId="77777777" w:rsidR="006F4912" w:rsidRPr="006F4912" w:rsidRDefault="006F4912" w:rsidP="006F4912">
            <w:pPr>
              <w:spacing w:line="256" w:lineRule="auto"/>
              <w:rPr>
                <w:rFonts w:ascii="Times New Roman" w:eastAsia="Calibri" w:hAnsi="Times New Roman" w:cs="Times New Roman"/>
                <w:bCs/>
                <w:shd w:val="clear" w:color="auto" w:fill="E7E6E6"/>
              </w:rPr>
            </w:pPr>
            <w:r w:rsidRPr="006F4912">
              <w:rPr>
                <w:rFonts w:ascii="Times New Roman" w:eastAsia="Calibri" w:hAnsi="Times New Roman" w:cs="Times New Roman"/>
                <w:bCs/>
              </w:rPr>
              <w:t>Povećanje sudjelovanja u kompetitivnom projektnom financiranju</w:t>
            </w:r>
            <w:r w:rsidRPr="006F4912">
              <w:rPr>
                <w:rFonts w:ascii="Times New Roman" w:eastAsia="Calibri" w:hAnsi="Times New Roman" w:cs="Times New Roman"/>
                <w:bCs/>
                <w:shd w:val="clear" w:color="auto" w:fill="E7E6E6"/>
              </w:rPr>
              <w:t xml:space="preserve"> </w:t>
            </w:r>
          </w:p>
          <w:p w14:paraId="2FB51426" w14:textId="77777777" w:rsidR="006F4912" w:rsidRPr="006F4912" w:rsidRDefault="006F4912" w:rsidP="006F4912">
            <w:pPr>
              <w:spacing w:after="0" w:line="240" w:lineRule="auto"/>
              <w:rPr>
                <w:rFonts w:ascii="Times New Roman" w:eastAsia="Times New Roman" w:hAnsi="Times New Roman" w:cs="Times New Roman"/>
                <w:bCs/>
              </w:rPr>
            </w:pPr>
          </w:p>
        </w:tc>
        <w:tc>
          <w:tcPr>
            <w:tcW w:w="850" w:type="dxa"/>
            <w:tcBorders>
              <w:top w:val="single" w:sz="4" w:space="0" w:color="auto"/>
              <w:left w:val="nil"/>
              <w:bottom w:val="single" w:sz="4" w:space="0" w:color="auto"/>
              <w:right w:val="single" w:sz="4" w:space="0" w:color="auto"/>
            </w:tcBorders>
            <w:noWrap/>
            <w:vAlign w:val="center"/>
          </w:tcPr>
          <w:p w14:paraId="50D2C680"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41160E64"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381</w:t>
            </w:r>
          </w:p>
        </w:tc>
        <w:tc>
          <w:tcPr>
            <w:tcW w:w="1276" w:type="dxa"/>
            <w:tcBorders>
              <w:top w:val="single" w:sz="4" w:space="0" w:color="auto"/>
              <w:left w:val="nil"/>
              <w:bottom w:val="single" w:sz="4" w:space="0" w:color="auto"/>
              <w:right w:val="single" w:sz="4" w:space="0" w:color="auto"/>
            </w:tcBorders>
            <w:noWrap/>
            <w:vAlign w:val="center"/>
          </w:tcPr>
          <w:p w14:paraId="0632EFC4"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 za znanost, poslijedipl.studije i međ. suradnju</w:t>
            </w:r>
          </w:p>
        </w:tc>
        <w:tc>
          <w:tcPr>
            <w:tcW w:w="1134" w:type="dxa"/>
            <w:tcBorders>
              <w:top w:val="single" w:sz="4" w:space="0" w:color="auto"/>
              <w:left w:val="nil"/>
              <w:bottom w:val="single" w:sz="4" w:space="0" w:color="auto"/>
              <w:right w:val="single" w:sz="4" w:space="0" w:color="auto"/>
            </w:tcBorders>
            <w:noWrap/>
            <w:vAlign w:val="center"/>
          </w:tcPr>
          <w:p w14:paraId="6B24F915"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385</w:t>
            </w:r>
          </w:p>
        </w:tc>
        <w:tc>
          <w:tcPr>
            <w:tcW w:w="1105" w:type="dxa"/>
            <w:tcBorders>
              <w:top w:val="single" w:sz="4" w:space="0" w:color="auto"/>
              <w:left w:val="nil"/>
              <w:bottom w:val="single" w:sz="4" w:space="0" w:color="auto"/>
              <w:right w:val="single" w:sz="4" w:space="0" w:color="auto"/>
            </w:tcBorders>
            <w:noWrap/>
            <w:vAlign w:val="center"/>
          </w:tcPr>
          <w:p w14:paraId="04749464"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390</w:t>
            </w:r>
          </w:p>
        </w:tc>
        <w:tc>
          <w:tcPr>
            <w:tcW w:w="1021" w:type="dxa"/>
            <w:tcBorders>
              <w:top w:val="single" w:sz="4" w:space="0" w:color="auto"/>
              <w:left w:val="nil"/>
              <w:bottom w:val="single" w:sz="4" w:space="0" w:color="auto"/>
              <w:right w:val="single" w:sz="4" w:space="0" w:color="auto"/>
            </w:tcBorders>
            <w:noWrap/>
            <w:vAlign w:val="center"/>
          </w:tcPr>
          <w:p w14:paraId="076D7A40"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411</w:t>
            </w:r>
          </w:p>
        </w:tc>
      </w:tr>
      <w:tr w:rsidR="006F4912" w:rsidRPr="006F4912" w14:paraId="767A0B5E"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719D2236"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bCs/>
              </w:rPr>
              <w:t>Broj suradnji s inozemnim partnerima</w:t>
            </w:r>
          </w:p>
        </w:tc>
        <w:tc>
          <w:tcPr>
            <w:tcW w:w="1560" w:type="dxa"/>
            <w:tcBorders>
              <w:top w:val="single" w:sz="4" w:space="0" w:color="auto"/>
              <w:left w:val="nil"/>
              <w:bottom w:val="single" w:sz="4" w:space="0" w:color="auto"/>
              <w:right w:val="single" w:sz="4" w:space="0" w:color="auto"/>
            </w:tcBorders>
            <w:noWrap/>
            <w:vAlign w:val="center"/>
          </w:tcPr>
          <w:p w14:paraId="34366010" w14:textId="77777777" w:rsidR="006F4912" w:rsidRPr="006F4912" w:rsidRDefault="006F4912" w:rsidP="006F4912">
            <w:pPr>
              <w:spacing w:after="0" w:line="240" w:lineRule="auto"/>
              <w:rPr>
                <w:rFonts w:ascii="Times New Roman" w:eastAsia="Times New Roman" w:hAnsi="Times New Roman" w:cs="Times New Roman"/>
                <w:bCs/>
              </w:rPr>
            </w:pPr>
            <w:r w:rsidRPr="006F4912">
              <w:rPr>
                <w:rFonts w:ascii="Times New Roman" w:eastAsia="Times New Roman" w:hAnsi="Times New Roman" w:cs="Times New Roman"/>
                <w:bCs/>
              </w:rPr>
              <w:t>Jačanje međunarodne znanstvene suradnje</w:t>
            </w:r>
          </w:p>
        </w:tc>
        <w:tc>
          <w:tcPr>
            <w:tcW w:w="850" w:type="dxa"/>
            <w:tcBorders>
              <w:top w:val="single" w:sz="4" w:space="0" w:color="auto"/>
              <w:left w:val="nil"/>
              <w:bottom w:val="single" w:sz="4" w:space="0" w:color="auto"/>
              <w:right w:val="single" w:sz="4" w:space="0" w:color="auto"/>
            </w:tcBorders>
            <w:noWrap/>
            <w:vAlign w:val="center"/>
          </w:tcPr>
          <w:p w14:paraId="251015C3"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751FAC68"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6</w:t>
            </w:r>
          </w:p>
        </w:tc>
        <w:tc>
          <w:tcPr>
            <w:tcW w:w="1276" w:type="dxa"/>
            <w:tcBorders>
              <w:top w:val="single" w:sz="4" w:space="0" w:color="auto"/>
              <w:left w:val="nil"/>
              <w:bottom w:val="single" w:sz="4" w:space="0" w:color="auto"/>
              <w:right w:val="single" w:sz="4" w:space="0" w:color="auto"/>
            </w:tcBorders>
            <w:noWrap/>
            <w:vAlign w:val="center"/>
          </w:tcPr>
          <w:p w14:paraId="5B26186D"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 za znanost, poslijedipl.studije i međ. suradnju</w:t>
            </w:r>
          </w:p>
        </w:tc>
        <w:tc>
          <w:tcPr>
            <w:tcW w:w="1134" w:type="dxa"/>
            <w:tcBorders>
              <w:top w:val="single" w:sz="4" w:space="0" w:color="auto"/>
              <w:left w:val="nil"/>
              <w:bottom w:val="single" w:sz="4" w:space="0" w:color="auto"/>
              <w:right w:val="single" w:sz="4" w:space="0" w:color="auto"/>
            </w:tcBorders>
            <w:noWrap/>
            <w:vAlign w:val="center"/>
          </w:tcPr>
          <w:p w14:paraId="5F83F72C"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7</w:t>
            </w:r>
          </w:p>
        </w:tc>
        <w:tc>
          <w:tcPr>
            <w:tcW w:w="1105" w:type="dxa"/>
            <w:tcBorders>
              <w:top w:val="single" w:sz="4" w:space="0" w:color="auto"/>
              <w:left w:val="nil"/>
              <w:bottom w:val="single" w:sz="4" w:space="0" w:color="auto"/>
              <w:right w:val="single" w:sz="4" w:space="0" w:color="auto"/>
            </w:tcBorders>
            <w:noWrap/>
            <w:vAlign w:val="center"/>
          </w:tcPr>
          <w:p w14:paraId="64AE2A33"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9</w:t>
            </w:r>
          </w:p>
        </w:tc>
        <w:tc>
          <w:tcPr>
            <w:tcW w:w="1021" w:type="dxa"/>
            <w:tcBorders>
              <w:top w:val="single" w:sz="4" w:space="0" w:color="auto"/>
              <w:left w:val="nil"/>
              <w:bottom w:val="single" w:sz="4" w:space="0" w:color="auto"/>
              <w:right w:val="single" w:sz="4" w:space="0" w:color="auto"/>
            </w:tcBorders>
            <w:noWrap/>
            <w:vAlign w:val="center"/>
          </w:tcPr>
          <w:p w14:paraId="0895D0DB"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11</w:t>
            </w:r>
          </w:p>
        </w:tc>
      </w:tr>
      <w:tr w:rsidR="006F4912" w:rsidRPr="006F4912" w14:paraId="6CA895AA"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4312FCA0"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bCs/>
              </w:rPr>
              <w:t>Broj znanstvenika uključenih u aktivnosti znanstvene mobilnosti</w:t>
            </w:r>
          </w:p>
        </w:tc>
        <w:tc>
          <w:tcPr>
            <w:tcW w:w="1560" w:type="dxa"/>
            <w:tcBorders>
              <w:top w:val="single" w:sz="4" w:space="0" w:color="auto"/>
              <w:left w:val="nil"/>
              <w:bottom w:val="single" w:sz="4" w:space="0" w:color="auto"/>
              <w:right w:val="single" w:sz="4" w:space="0" w:color="auto"/>
            </w:tcBorders>
            <w:noWrap/>
            <w:vAlign w:val="center"/>
          </w:tcPr>
          <w:p w14:paraId="4A725A1F" w14:textId="77777777" w:rsidR="006F4912" w:rsidRPr="006F4912" w:rsidRDefault="006F4912" w:rsidP="006F4912">
            <w:pPr>
              <w:spacing w:after="0" w:line="240" w:lineRule="auto"/>
              <w:rPr>
                <w:rFonts w:ascii="Times New Roman" w:eastAsia="Times New Roman" w:hAnsi="Times New Roman" w:cs="Times New Roman"/>
                <w:bCs/>
              </w:rPr>
            </w:pPr>
            <w:r w:rsidRPr="006F4912">
              <w:rPr>
                <w:rFonts w:ascii="Times New Roman" w:eastAsia="Times New Roman" w:hAnsi="Times New Roman" w:cs="Times New Roman"/>
                <w:bCs/>
              </w:rPr>
              <w:t>Jačanje međunarodne znanstvene suradnje</w:t>
            </w:r>
          </w:p>
        </w:tc>
        <w:tc>
          <w:tcPr>
            <w:tcW w:w="850" w:type="dxa"/>
            <w:tcBorders>
              <w:top w:val="single" w:sz="4" w:space="0" w:color="auto"/>
              <w:left w:val="nil"/>
              <w:bottom w:val="single" w:sz="4" w:space="0" w:color="auto"/>
              <w:right w:val="single" w:sz="4" w:space="0" w:color="auto"/>
            </w:tcBorders>
            <w:noWrap/>
            <w:vAlign w:val="center"/>
          </w:tcPr>
          <w:p w14:paraId="1FF8227E"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0D4FFD57"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73</w:t>
            </w:r>
          </w:p>
        </w:tc>
        <w:tc>
          <w:tcPr>
            <w:tcW w:w="1276" w:type="dxa"/>
            <w:tcBorders>
              <w:top w:val="single" w:sz="4" w:space="0" w:color="auto"/>
              <w:left w:val="nil"/>
              <w:bottom w:val="single" w:sz="4" w:space="0" w:color="auto"/>
              <w:right w:val="single" w:sz="4" w:space="0" w:color="auto"/>
            </w:tcBorders>
            <w:noWrap/>
            <w:vAlign w:val="center"/>
          </w:tcPr>
          <w:p w14:paraId="50B6A39C"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 za znanost, poslijedipl.studije i međ. suradnju</w:t>
            </w:r>
          </w:p>
        </w:tc>
        <w:tc>
          <w:tcPr>
            <w:tcW w:w="1134" w:type="dxa"/>
            <w:tcBorders>
              <w:top w:val="single" w:sz="4" w:space="0" w:color="auto"/>
              <w:left w:val="nil"/>
              <w:bottom w:val="single" w:sz="4" w:space="0" w:color="auto"/>
              <w:right w:val="single" w:sz="4" w:space="0" w:color="auto"/>
            </w:tcBorders>
            <w:noWrap/>
            <w:vAlign w:val="center"/>
          </w:tcPr>
          <w:p w14:paraId="09AF6992"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88</w:t>
            </w:r>
          </w:p>
        </w:tc>
        <w:tc>
          <w:tcPr>
            <w:tcW w:w="1105" w:type="dxa"/>
            <w:tcBorders>
              <w:top w:val="single" w:sz="4" w:space="0" w:color="auto"/>
              <w:left w:val="nil"/>
              <w:bottom w:val="single" w:sz="4" w:space="0" w:color="auto"/>
              <w:right w:val="single" w:sz="4" w:space="0" w:color="auto"/>
            </w:tcBorders>
            <w:noWrap/>
            <w:vAlign w:val="center"/>
          </w:tcPr>
          <w:p w14:paraId="2971CDF9"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104</w:t>
            </w:r>
          </w:p>
        </w:tc>
        <w:tc>
          <w:tcPr>
            <w:tcW w:w="1021" w:type="dxa"/>
            <w:tcBorders>
              <w:top w:val="single" w:sz="4" w:space="0" w:color="auto"/>
              <w:left w:val="nil"/>
              <w:bottom w:val="single" w:sz="4" w:space="0" w:color="auto"/>
              <w:right w:val="single" w:sz="4" w:space="0" w:color="auto"/>
            </w:tcBorders>
            <w:noWrap/>
            <w:vAlign w:val="center"/>
          </w:tcPr>
          <w:p w14:paraId="0DF78B53"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107</w:t>
            </w:r>
          </w:p>
        </w:tc>
      </w:tr>
      <w:tr w:rsidR="006F4912" w:rsidRPr="006F4912" w14:paraId="4171717A"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1A828289"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bCs/>
              </w:rPr>
              <w:t>Broj uspješnih projektnih prijava u suradnji s inozemnim partnerom</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14:paraId="1BD68B47" w14:textId="77777777" w:rsidR="006F4912" w:rsidRPr="006F4912" w:rsidRDefault="006F4912" w:rsidP="006F4912">
            <w:pPr>
              <w:spacing w:line="240" w:lineRule="auto"/>
              <w:rPr>
                <w:rFonts w:ascii="Times New Roman" w:eastAsia="Times New Roman" w:hAnsi="Times New Roman" w:cs="Times New Roman"/>
                <w:bCs/>
              </w:rPr>
            </w:pPr>
            <w:r w:rsidRPr="006F4912">
              <w:rPr>
                <w:rFonts w:ascii="Times New Roman" w:eastAsia="Times New Roman" w:hAnsi="Times New Roman" w:cs="Times New Roman"/>
                <w:bCs/>
              </w:rPr>
              <w:t xml:space="preserve">Jačanje međunarodne znanstvene suradnje </w:t>
            </w:r>
          </w:p>
          <w:p w14:paraId="10A9DD8A" w14:textId="77777777" w:rsidR="006F4912" w:rsidRPr="006F4912" w:rsidRDefault="006F4912" w:rsidP="006F4912">
            <w:pPr>
              <w:spacing w:after="0" w:line="240" w:lineRule="auto"/>
              <w:rPr>
                <w:rFonts w:ascii="Times New Roman" w:eastAsia="Times New Roman" w:hAnsi="Times New Roman" w:cs="Times New Roman"/>
                <w:bCs/>
              </w:rPr>
            </w:pPr>
          </w:p>
        </w:tc>
        <w:tc>
          <w:tcPr>
            <w:tcW w:w="850" w:type="dxa"/>
            <w:tcBorders>
              <w:top w:val="single" w:sz="4" w:space="0" w:color="auto"/>
              <w:left w:val="nil"/>
              <w:bottom w:val="single" w:sz="4" w:space="0" w:color="auto"/>
              <w:right w:val="single" w:sz="4" w:space="0" w:color="auto"/>
            </w:tcBorders>
            <w:noWrap/>
            <w:vAlign w:val="center"/>
          </w:tcPr>
          <w:p w14:paraId="5FA4BA31"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4D87D972"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5</w:t>
            </w:r>
          </w:p>
        </w:tc>
        <w:tc>
          <w:tcPr>
            <w:tcW w:w="1276" w:type="dxa"/>
            <w:tcBorders>
              <w:top w:val="single" w:sz="4" w:space="0" w:color="auto"/>
              <w:left w:val="nil"/>
              <w:bottom w:val="single" w:sz="4" w:space="0" w:color="auto"/>
              <w:right w:val="single" w:sz="4" w:space="0" w:color="auto"/>
            </w:tcBorders>
            <w:noWrap/>
            <w:vAlign w:val="center"/>
          </w:tcPr>
          <w:p w14:paraId="6FADB69D"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 za znanost, poslijedipl.studije i međ. suradnju</w:t>
            </w:r>
          </w:p>
        </w:tc>
        <w:tc>
          <w:tcPr>
            <w:tcW w:w="1134" w:type="dxa"/>
            <w:tcBorders>
              <w:top w:val="single" w:sz="4" w:space="0" w:color="auto"/>
              <w:left w:val="nil"/>
              <w:bottom w:val="single" w:sz="4" w:space="0" w:color="auto"/>
              <w:right w:val="single" w:sz="4" w:space="0" w:color="auto"/>
            </w:tcBorders>
            <w:noWrap/>
            <w:vAlign w:val="center"/>
          </w:tcPr>
          <w:p w14:paraId="76439AD2"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7</w:t>
            </w:r>
          </w:p>
        </w:tc>
        <w:tc>
          <w:tcPr>
            <w:tcW w:w="1105" w:type="dxa"/>
            <w:tcBorders>
              <w:top w:val="single" w:sz="4" w:space="0" w:color="auto"/>
              <w:left w:val="nil"/>
              <w:bottom w:val="single" w:sz="4" w:space="0" w:color="auto"/>
              <w:right w:val="single" w:sz="4" w:space="0" w:color="auto"/>
            </w:tcBorders>
            <w:noWrap/>
            <w:vAlign w:val="center"/>
          </w:tcPr>
          <w:p w14:paraId="1A9758D0"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9</w:t>
            </w:r>
          </w:p>
        </w:tc>
        <w:tc>
          <w:tcPr>
            <w:tcW w:w="1021" w:type="dxa"/>
            <w:tcBorders>
              <w:top w:val="single" w:sz="4" w:space="0" w:color="auto"/>
              <w:left w:val="nil"/>
              <w:bottom w:val="single" w:sz="4" w:space="0" w:color="auto"/>
              <w:right w:val="single" w:sz="4" w:space="0" w:color="auto"/>
            </w:tcBorders>
            <w:noWrap/>
            <w:vAlign w:val="center"/>
          </w:tcPr>
          <w:p w14:paraId="3B36D40B"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10</w:t>
            </w:r>
          </w:p>
        </w:tc>
      </w:tr>
      <w:tr w:rsidR="006F4912" w:rsidRPr="006F4912" w14:paraId="3142511B"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381B3A1A"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Broj završenih doktorata</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14:paraId="0790B6B0" w14:textId="77777777" w:rsidR="006F4912" w:rsidRPr="006F4912" w:rsidRDefault="006F4912" w:rsidP="006F4912">
            <w:pPr>
              <w:spacing w:line="256" w:lineRule="auto"/>
              <w:rPr>
                <w:rFonts w:ascii="Times New Roman" w:eastAsia="Calibri" w:hAnsi="Times New Roman" w:cs="Times New Roman"/>
                <w:bCs/>
              </w:rPr>
            </w:pPr>
            <w:r w:rsidRPr="006F4912">
              <w:rPr>
                <w:rFonts w:ascii="Times New Roman" w:eastAsia="Calibri" w:hAnsi="Times New Roman" w:cs="Times New Roman"/>
                <w:bCs/>
              </w:rPr>
              <w:t>Jačanje ljudskih potencijala za znanstveni rad</w:t>
            </w:r>
          </w:p>
          <w:p w14:paraId="55BD3D1A" w14:textId="77777777" w:rsidR="006F4912" w:rsidRPr="006F4912" w:rsidRDefault="006F4912" w:rsidP="006F4912">
            <w:pPr>
              <w:spacing w:after="0" w:line="240" w:lineRule="auto"/>
              <w:rPr>
                <w:rFonts w:ascii="Times New Roman" w:eastAsia="Times New Roman" w:hAnsi="Times New Roman" w:cs="Times New Roman"/>
                <w:bCs/>
              </w:rPr>
            </w:pPr>
          </w:p>
        </w:tc>
        <w:tc>
          <w:tcPr>
            <w:tcW w:w="850" w:type="dxa"/>
            <w:tcBorders>
              <w:top w:val="single" w:sz="4" w:space="0" w:color="auto"/>
              <w:left w:val="nil"/>
              <w:bottom w:val="single" w:sz="4" w:space="0" w:color="auto"/>
              <w:right w:val="single" w:sz="4" w:space="0" w:color="auto"/>
            </w:tcBorders>
            <w:noWrap/>
            <w:vAlign w:val="center"/>
          </w:tcPr>
          <w:p w14:paraId="57DDED01"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77DA220A"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47</w:t>
            </w:r>
          </w:p>
        </w:tc>
        <w:tc>
          <w:tcPr>
            <w:tcW w:w="1276" w:type="dxa"/>
            <w:tcBorders>
              <w:top w:val="single" w:sz="4" w:space="0" w:color="auto"/>
              <w:left w:val="nil"/>
              <w:bottom w:val="single" w:sz="4" w:space="0" w:color="auto"/>
              <w:right w:val="single" w:sz="4" w:space="0" w:color="auto"/>
            </w:tcBorders>
            <w:noWrap/>
            <w:vAlign w:val="center"/>
          </w:tcPr>
          <w:p w14:paraId="0658E24E"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 za znanost, poslijedipl.studije i međ. suradnju</w:t>
            </w:r>
          </w:p>
        </w:tc>
        <w:tc>
          <w:tcPr>
            <w:tcW w:w="1134" w:type="dxa"/>
            <w:tcBorders>
              <w:top w:val="single" w:sz="4" w:space="0" w:color="auto"/>
              <w:left w:val="nil"/>
              <w:bottom w:val="single" w:sz="4" w:space="0" w:color="auto"/>
              <w:right w:val="single" w:sz="4" w:space="0" w:color="auto"/>
            </w:tcBorders>
            <w:noWrap/>
            <w:vAlign w:val="center"/>
          </w:tcPr>
          <w:p w14:paraId="1AEE89CE"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44</w:t>
            </w:r>
          </w:p>
        </w:tc>
        <w:tc>
          <w:tcPr>
            <w:tcW w:w="1105" w:type="dxa"/>
            <w:tcBorders>
              <w:top w:val="single" w:sz="4" w:space="0" w:color="auto"/>
              <w:left w:val="nil"/>
              <w:bottom w:val="single" w:sz="4" w:space="0" w:color="auto"/>
              <w:right w:val="single" w:sz="4" w:space="0" w:color="auto"/>
            </w:tcBorders>
            <w:noWrap/>
            <w:vAlign w:val="center"/>
          </w:tcPr>
          <w:p w14:paraId="4C29518B"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42</w:t>
            </w:r>
          </w:p>
        </w:tc>
        <w:tc>
          <w:tcPr>
            <w:tcW w:w="1021" w:type="dxa"/>
            <w:tcBorders>
              <w:top w:val="single" w:sz="4" w:space="0" w:color="auto"/>
              <w:left w:val="nil"/>
              <w:bottom w:val="single" w:sz="4" w:space="0" w:color="auto"/>
              <w:right w:val="single" w:sz="4" w:space="0" w:color="auto"/>
            </w:tcBorders>
            <w:noWrap/>
            <w:vAlign w:val="center"/>
          </w:tcPr>
          <w:p w14:paraId="682A13B1"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46</w:t>
            </w:r>
          </w:p>
        </w:tc>
      </w:tr>
      <w:tr w:rsidR="006F4912" w:rsidRPr="006F4912" w14:paraId="3FAD4C4F"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582E508C" w14:textId="77777777" w:rsidR="006F4912" w:rsidRPr="006F4912" w:rsidRDefault="006F4912" w:rsidP="006F4912">
            <w:pPr>
              <w:spacing w:after="0" w:line="240" w:lineRule="auto"/>
              <w:rPr>
                <w:rFonts w:ascii="Times New Roman" w:eastAsia="Calibri" w:hAnsi="Times New Roman" w:cs="Times New Roman"/>
              </w:rPr>
            </w:pPr>
            <w:r w:rsidRPr="006F4912">
              <w:rPr>
                <w:rFonts w:ascii="Times New Roman" w:eastAsia="Calibri" w:hAnsi="Times New Roman" w:cs="Times New Roman"/>
              </w:rPr>
              <w:t>Količina opreme za ulaganje u istraživačku infrastrukturu</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14:paraId="03D4FF9A" w14:textId="77777777" w:rsidR="006F4912" w:rsidRPr="006F4912" w:rsidRDefault="006F4912" w:rsidP="006F4912">
            <w:pPr>
              <w:spacing w:line="256" w:lineRule="auto"/>
              <w:rPr>
                <w:rFonts w:ascii="Times New Roman" w:eastAsia="Calibri" w:hAnsi="Times New Roman" w:cs="Times New Roman"/>
                <w:bCs/>
              </w:rPr>
            </w:pPr>
            <w:r w:rsidRPr="006F4912">
              <w:rPr>
                <w:rFonts w:ascii="Times New Roman" w:eastAsia="Calibri" w:hAnsi="Times New Roman" w:cs="Times New Roman"/>
                <w:bCs/>
              </w:rPr>
              <w:t>Unaprjeđenje istraživačke infrastrukture</w:t>
            </w:r>
          </w:p>
          <w:p w14:paraId="1D5E6A46" w14:textId="77777777" w:rsidR="006F4912" w:rsidRPr="006F4912" w:rsidRDefault="006F4912" w:rsidP="006F4912">
            <w:pPr>
              <w:spacing w:line="256" w:lineRule="auto"/>
              <w:rPr>
                <w:rFonts w:ascii="Times New Roman" w:eastAsia="Calibri" w:hAnsi="Times New Roman" w:cs="Times New Roman"/>
                <w:bCs/>
              </w:rPr>
            </w:pPr>
          </w:p>
        </w:tc>
        <w:tc>
          <w:tcPr>
            <w:tcW w:w="850" w:type="dxa"/>
            <w:tcBorders>
              <w:top w:val="single" w:sz="4" w:space="0" w:color="auto"/>
              <w:left w:val="nil"/>
              <w:bottom w:val="single" w:sz="4" w:space="0" w:color="auto"/>
              <w:right w:val="single" w:sz="4" w:space="0" w:color="auto"/>
            </w:tcBorders>
            <w:noWrap/>
            <w:vAlign w:val="center"/>
          </w:tcPr>
          <w:p w14:paraId="4A1FC32A"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 xml:space="preserve">Broj </w:t>
            </w:r>
          </w:p>
        </w:tc>
        <w:tc>
          <w:tcPr>
            <w:tcW w:w="1134" w:type="dxa"/>
            <w:tcBorders>
              <w:top w:val="single" w:sz="4" w:space="0" w:color="auto"/>
              <w:left w:val="nil"/>
              <w:bottom w:val="single" w:sz="4" w:space="0" w:color="auto"/>
              <w:right w:val="single" w:sz="4" w:space="0" w:color="auto"/>
            </w:tcBorders>
            <w:noWrap/>
            <w:vAlign w:val="center"/>
          </w:tcPr>
          <w:p w14:paraId="3F8F03E4"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20</w:t>
            </w:r>
          </w:p>
        </w:tc>
        <w:tc>
          <w:tcPr>
            <w:tcW w:w="1276" w:type="dxa"/>
            <w:tcBorders>
              <w:top w:val="single" w:sz="4" w:space="0" w:color="auto"/>
              <w:left w:val="nil"/>
              <w:bottom w:val="single" w:sz="4" w:space="0" w:color="auto"/>
              <w:right w:val="single" w:sz="4" w:space="0" w:color="auto"/>
            </w:tcBorders>
            <w:noWrap/>
            <w:vAlign w:val="center"/>
          </w:tcPr>
          <w:p w14:paraId="6C950F4D" w14:textId="77777777" w:rsidR="006F4912" w:rsidRPr="006F4912" w:rsidRDefault="006F4912" w:rsidP="006F4912">
            <w:pPr>
              <w:spacing w:line="278" w:lineRule="auto"/>
              <w:rPr>
                <w:rFonts w:ascii="Times New Roman" w:eastAsia="Times New Roman" w:hAnsi="Times New Roman" w:cs="Times New Roman"/>
              </w:rPr>
            </w:pPr>
            <w:r w:rsidRPr="006F4912">
              <w:rPr>
                <w:rFonts w:ascii="Times New Roman" w:eastAsia="Times New Roman" w:hAnsi="Times New Roman" w:cs="Times New Roman"/>
              </w:rPr>
              <w:t>Prodekan za financijsko poslovanje i investicije</w:t>
            </w:r>
          </w:p>
        </w:tc>
        <w:tc>
          <w:tcPr>
            <w:tcW w:w="1134" w:type="dxa"/>
            <w:tcBorders>
              <w:top w:val="single" w:sz="4" w:space="0" w:color="auto"/>
              <w:left w:val="nil"/>
              <w:bottom w:val="single" w:sz="4" w:space="0" w:color="auto"/>
              <w:right w:val="single" w:sz="4" w:space="0" w:color="auto"/>
            </w:tcBorders>
            <w:noWrap/>
            <w:vAlign w:val="center"/>
          </w:tcPr>
          <w:p w14:paraId="2D78F622"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23</w:t>
            </w:r>
          </w:p>
        </w:tc>
        <w:tc>
          <w:tcPr>
            <w:tcW w:w="1105" w:type="dxa"/>
            <w:tcBorders>
              <w:top w:val="single" w:sz="4" w:space="0" w:color="auto"/>
              <w:left w:val="nil"/>
              <w:bottom w:val="single" w:sz="4" w:space="0" w:color="auto"/>
              <w:right w:val="single" w:sz="4" w:space="0" w:color="auto"/>
            </w:tcBorders>
            <w:noWrap/>
            <w:vAlign w:val="center"/>
          </w:tcPr>
          <w:p w14:paraId="14874541"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26</w:t>
            </w:r>
          </w:p>
        </w:tc>
        <w:tc>
          <w:tcPr>
            <w:tcW w:w="1021" w:type="dxa"/>
            <w:tcBorders>
              <w:top w:val="single" w:sz="4" w:space="0" w:color="auto"/>
              <w:left w:val="nil"/>
              <w:bottom w:val="single" w:sz="4" w:space="0" w:color="auto"/>
              <w:right w:val="single" w:sz="4" w:space="0" w:color="auto"/>
            </w:tcBorders>
            <w:noWrap/>
            <w:vAlign w:val="center"/>
          </w:tcPr>
          <w:p w14:paraId="24788C5B"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31</w:t>
            </w:r>
          </w:p>
        </w:tc>
      </w:tr>
      <w:tr w:rsidR="006F4912" w:rsidRPr="006F4912" w14:paraId="59C6BD23"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765556F3" w14:textId="77777777" w:rsidR="006F4912" w:rsidRPr="006F4912" w:rsidRDefault="006F4912" w:rsidP="006F4912">
            <w:pPr>
              <w:spacing w:after="0" w:line="240" w:lineRule="auto"/>
              <w:rPr>
                <w:rFonts w:ascii="Times New Roman" w:eastAsia="Calibri" w:hAnsi="Times New Roman" w:cs="Times New Roman"/>
              </w:rPr>
            </w:pPr>
            <w:r w:rsidRPr="006F4912">
              <w:rPr>
                <w:rFonts w:ascii="Times New Roman" w:eastAsia="Calibri" w:hAnsi="Times New Roman" w:cs="Times New Roman"/>
              </w:rPr>
              <w:t>Broj uspješnih projektnih prijava za interdisciplinarne znanstvene projekte</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14:paraId="42F5A9D4" w14:textId="77777777" w:rsidR="006F4912" w:rsidRPr="006F4912" w:rsidRDefault="006F4912" w:rsidP="006F4912">
            <w:pPr>
              <w:spacing w:line="256" w:lineRule="auto"/>
              <w:rPr>
                <w:rFonts w:ascii="Times New Roman" w:eastAsia="Calibri" w:hAnsi="Times New Roman" w:cs="Times New Roman"/>
                <w:bCs/>
              </w:rPr>
            </w:pPr>
            <w:r w:rsidRPr="006F4912">
              <w:rPr>
                <w:rFonts w:ascii="Times New Roman" w:eastAsia="Calibri" w:hAnsi="Times New Roman" w:cs="Times New Roman"/>
                <w:bCs/>
              </w:rPr>
              <w:t>Jačanje interdisciplinarnosti znanstvenog rada</w:t>
            </w:r>
          </w:p>
        </w:tc>
        <w:tc>
          <w:tcPr>
            <w:tcW w:w="850" w:type="dxa"/>
            <w:tcBorders>
              <w:top w:val="single" w:sz="4" w:space="0" w:color="auto"/>
              <w:left w:val="nil"/>
              <w:bottom w:val="single" w:sz="4" w:space="0" w:color="auto"/>
              <w:right w:val="single" w:sz="4" w:space="0" w:color="auto"/>
            </w:tcBorders>
            <w:noWrap/>
            <w:vAlign w:val="center"/>
          </w:tcPr>
          <w:p w14:paraId="6581061A"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21D3F65A"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9</w:t>
            </w:r>
          </w:p>
        </w:tc>
        <w:tc>
          <w:tcPr>
            <w:tcW w:w="1276" w:type="dxa"/>
            <w:tcBorders>
              <w:top w:val="single" w:sz="4" w:space="0" w:color="auto"/>
              <w:left w:val="nil"/>
              <w:bottom w:val="single" w:sz="4" w:space="0" w:color="auto"/>
              <w:right w:val="single" w:sz="4" w:space="0" w:color="auto"/>
            </w:tcBorders>
            <w:noWrap/>
            <w:vAlign w:val="center"/>
          </w:tcPr>
          <w:p w14:paraId="5B9EAB8B"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 za znanost, poslijedipl.studije i međ. suradnju</w:t>
            </w:r>
          </w:p>
        </w:tc>
        <w:tc>
          <w:tcPr>
            <w:tcW w:w="1134" w:type="dxa"/>
            <w:tcBorders>
              <w:top w:val="single" w:sz="4" w:space="0" w:color="auto"/>
              <w:left w:val="nil"/>
              <w:bottom w:val="single" w:sz="4" w:space="0" w:color="auto"/>
              <w:right w:val="single" w:sz="4" w:space="0" w:color="auto"/>
            </w:tcBorders>
            <w:noWrap/>
            <w:vAlign w:val="center"/>
          </w:tcPr>
          <w:p w14:paraId="7127CCF5"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10</w:t>
            </w:r>
          </w:p>
        </w:tc>
        <w:tc>
          <w:tcPr>
            <w:tcW w:w="1105" w:type="dxa"/>
            <w:tcBorders>
              <w:top w:val="single" w:sz="4" w:space="0" w:color="auto"/>
              <w:left w:val="nil"/>
              <w:bottom w:val="single" w:sz="4" w:space="0" w:color="auto"/>
              <w:right w:val="single" w:sz="4" w:space="0" w:color="auto"/>
            </w:tcBorders>
            <w:noWrap/>
            <w:vAlign w:val="center"/>
          </w:tcPr>
          <w:p w14:paraId="1EEECE90"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11</w:t>
            </w:r>
          </w:p>
        </w:tc>
        <w:tc>
          <w:tcPr>
            <w:tcW w:w="1021" w:type="dxa"/>
            <w:tcBorders>
              <w:top w:val="single" w:sz="4" w:space="0" w:color="auto"/>
              <w:left w:val="nil"/>
              <w:bottom w:val="single" w:sz="4" w:space="0" w:color="auto"/>
              <w:right w:val="single" w:sz="4" w:space="0" w:color="auto"/>
            </w:tcBorders>
            <w:noWrap/>
            <w:vAlign w:val="center"/>
          </w:tcPr>
          <w:p w14:paraId="4A773205"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13</w:t>
            </w:r>
          </w:p>
        </w:tc>
      </w:tr>
    </w:tbl>
    <w:p w14:paraId="3852C0F5" w14:textId="77777777" w:rsidR="006F4912" w:rsidRPr="006F4912" w:rsidRDefault="006F4912" w:rsidP="006F4912">
      <w:pPr>
        <w:spacing w:line="256" w:lineRule="auto"/>
        <w:ind w:firstLine="708"/>
        <w:jc w:val="both"/>
        <w:rPr>
          <w:rFonts w:ascii="Times New Roman" w:eastAsia="Calibri" w:hAnsi="Times New Roman" w:cs="Times New Roman"/>
        </w:rPr>
      </w:pPr>
    </w:p>
    <w:p w14:paraId="55BE9BA1" w14:textId="77777777" w:rsidR="00607F29" w:rsidRDefault="00607F29" w:rsidP="006F4912">
      <w:pPr>
        <w:spacing w:line="256" w:lineRule="auto"/>
        <w:jc w:val="both"/>
        <w:rPr>
          <w:rFonts w:ascii="Times New Roman" w:eastAsia="Calibri" w:hAnsi="Times New Roman" w:cs="Times New Roman"/>
          <w:b/>
        </w:rPr>
      </w:pPr>
    </w:p>
    <w:p w14:paraId="59C1374B" w14:textId="151B5CAA" w:rsidR="006F4912" w:rsidRPr="006F4912" w:rsidRDefault="006F4912" w:rsidP="006F4912">
      <w:pPr>
        <w:spacing w:line="256" w:lineRule="auto"/>
        <w:jc w:val="both"/>
        <w:rPr>
          <w:rFonts w:ascii="Times New Roman" w:eastAsia="Calibri" w:hAnsi="Times New Roman" w:cs="Times New Roman"/>
          <w:b/>
        </w:rPr>
      </w:pPr>
      <w:r w:rsidRPr="006F4912">
        <w:rPr>
          <w:rFonts w:ascii="Times New Roman" w:eastAsia="Calibri" w:hAnsi="Times New Roman" w:cs="Times New Roman"/>
          <w:b/>
        </w:rPr>
        <w:t>CILJ 2: JAČANJE SURADNJE S GOSPODARSTVOM TE RAZVOJ NACIONALNOG I REGIONALNOG IDENTITETA I KULTURE</w:t>
      </w:r>
    </w:p>
    <w:p w14:paraId="64730C3D" w14:textId="77777777" w:rsidR="006F4912" w:rsidRPr="006F4912" w:rsidRDefault="006F4912" w:rsidP="006F4912">
      <w:pPr>
        <w:spacing w:line="256" w:lineRule="auto"/>
        <w:jc w:val="both"/>
        <w:rPr>
          <w:rFonts w:ascii="Times New Roman" w:eastAsia="Calibri" w:hAnsi="Times New Roman" w:cs="Times New Roman"/>
          <w:bCs/>
          <w:sz w:val="24"/>
          <w:szCs w:val="24"/>
        </w:rPr>
      </w:pPr>
      <w:r w:rsidRPr="006F4912">
        <w:rPr>
          <w:rFonts w:ascii="Times New Roman" w:eastAsia="Calibri" w:hAnsi="Times New Roman" w:cs="Times New Roman"/>
          <w:bCs/>
          <w:sz w:val="24"/>
          <w:szCs w:val="24"/>
        </w:rPr>
        <w:t>Kontinuirano treba unapređivati baze podataka o partnerima i potencijalima za suradnju stoga je nužno osnovati Ured za suradnju s gospodarstvom (i transfer tehnologije) koji bi predstavljao kadrovsku i pravnu podršku za upravljanje suradnjama, ugovorima i transferom znanja te izradio bazu poslovnih i institucionalnih partnera na lokalnoj, nacionalnoj i međunarodnoj razini. Ured bi radio i na promociji Fakulteta kao pouzdanog partnera kroz izradu i ažuriranje profesionalnih mrežnih stranica, brošura i prisutnost na sajmovima, konferencijama i gospodarskim forumima.</w:t>
      </w:r>
    </w:p>
    <w:p w14:paraId="2CA971C1" w14:textId="77777777" w:rsidR="006F4912" w:rsidRPr="006F4912" w:rsidRDefault="006F4912" w:rsidP="006F4912">
      <w:pPr>
        <w:spacing w:line="256" w:lineRule="auto"/>
        <w:jc w:val="both"/>
        <w:rPr>
          <w:rFonts w:ascii="Times New Roman" w:eastAsia="Calibri" w:hAnsi="Times New Roman" w:cs="Times New Roman"/>
          <w:bCs/>
          <w:sz w:val="24"/>
          <w:szCs w:val="24"/>
        </w:rPr>
      </w:pPr>
      <w:r w:rsidRPr="006F4912">
        <w:rPr>
          <w:rFonts w:ascii="Times New Roman" w:eastAsia="Calibri" w:hAnsi="Times New Roman" w:cs="Times New Roman"/>
          <w:bCs/>
          <w:sz w:val="24"/>
          <w:szCs w:val="24"/>
        </w:rPr>
        <w:t>Uspostavom etičkih i pravnih standarda suradnje s vanjskim partnerima kako bi se osigurala akademska neovisnost i transparentnost minimalizirao bi se rizik od kompromisa akademske neovisnosti u odnosu na privatne interese. Nastavnike i istraživače koji razvijaju projekte ili usluge u suradnji s industrijom treba poticati i nagrađivati.</w:t>
      </w:r>
    </w:p>
    <w:p w14:paraId="7B7DBAAC" w14:textId="77777777" w:rsidR="006F4912" w:rsidRPr="006F4912" w:rsidRDefault="006F4912" w:rsidP="006F4912">
      <w:pPr>
        <w:spacing w:line="256" w:lineRule="auto"/>
        <w:jc w:val="both"/>
        <w:rPr>
          <w:rFonts w:ascii="Times New Roman" w:eastAsia="Calibri" w:hAnsi="Times New Roman" w:cs="Times New Roman"/>
          <w:bCs/>
        </w:rPr>
      </w:pPr>
      <w:r w:rsidRPr="006F4912">
        <w:rPr>
          <w:rFonts w:ascii="Times New Roman" w:eastAsia="Calibri" w:hAnsi="Times New Roman" w:cs="Times New Roman"/>
          <w:bCs/>
          <w:sz w:val="24"/>
          <w:szCs w:val="24"/>
        </w:rPr>
        <w:t>Određeni dijelovi programa stručne prakse i cjeloživotnog obrazovanja trebaju biti prilagođeni i razvijeni u partnerstvu s gospodarstvom i javnim sektorom, a stručnjake iz gospodarstva treba uključivati u nastavu i razvoj kurikuluma uz žarište na kompetencije tražene na tržištu rada.</w:t>
      </w:r>
    </w:p>
    <w:tbl>
      <w:tblPr>
        <w:tblW w:w="9683" w:type="dxa"/>
        <w:tblInd w:w="93" w:type="dxa"/>
        <w:tblLayout w:type="fixed"/>
        <w:tblLook w:val="00A0" w:firstRow="1" w:lastRow="0" w:firstColumn="1" w:lastColumn="0" w:noHBand="0" w:noVBand="0"/>
      </w:tblPr>
      <w:tblGrid>
        <w:gridCol w:w="1603"/>
        <w:gridCol w:w="1560"/>
        <w:gridCol w:w="850"/>
        <w:gridCol w:w="1134"/>
        <w:gridCol w:w="1276"/>
        <w:gridCol w:w="1134"/>
        <w:gridCol w:w="1105"/>
        <w:gridCol w:w="1021"/>
      </w:tblGrid>
      <w:tr w:rsidR="006F4912" w:rsidRPr="006F4912" w14:paraId="655D44A9" w14:textId="77777777" w:rsidTr="00AC358B">
        <w:trPr>
          <w:trHeight w:val="691"/>
        </w:trPr>
        <w:tc>
          <w:tcPr>
            <w:tcW w:w="160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16F5637"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Pokazatelj</w:t>
            </w:r>
          </w:p>
          <w:p w14:paraId="474B4E07"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rezultata</w:t>
            </w:r>
          </w:p>
          <w:p w14:paraId="2EFD386A"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p>
        </w:tc>
        <w:tc>
          <w:tcPr>
            <w:tcW w:w="1560" w:type="dxa"/>
            <w:tcBorders>
              <w:top w:val="single" w:sz="4" w:space="0" w:color="auto"/>
              <w:left w:val="nil"/>
              <w:bottom w:val="single" w:sz="4" w:space="0" w:color="auto"/>
              <w:right w:val="single" w:sz="4" w:space="0" w:color="auto"/>
            </w:tcBorders>
            <w:shd w:val="clear" w:color="auto" w:fill="D9D9D9"/>
            <w:vAlign w:val="center"/>
          </w:tcPr>
          <w:p w14:paraId="4369F421"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Definicija</w:t>
            </w:r>
          </w:p>
        </w:tc>
        <w:tc>
          <w:tcPr>
            <w:tcW w:w="850" w:type="dxa"/>
            <w:tcBorders>
              <w:top w:val="single" w:sz="4" w:space="0" w:color="auto"/>
              <w:left w:val="nil"/>
              <w:bottom w:val="single" w:sz="4" w:space="0" w:color="auto"/>
              <w:right w:val="single" w:sz="4" w:space="0" w:color="auto"/>
            </w:tcBorders>
            <w:shd w:val="clear" w:color="auto" w:fill="D9D9D9"/>
            <w:vAlign w:val="center"/>
          </w:tcPr>
          <w:p w14:paraId="52C7639D"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46455EC4"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Polazna vrijednost 2025.</w:t>
            </w:r>
          </w:p>
        </w:tc>
        <w:tc>
          <w:tcPr>
            <w:tcW w:w="1276" w:type="dxa"/>
            <w:tcBorders>
              <w:top w:val="single" w:sz="4" w:space="0" w:color="auto"/>
              <w:left w:val="nil"/>
              <w:bottom w:val="single" w:sz="4" w:space="0" w:color="auto"/>
              <w:right w:val="single" w:sz="4" w:space="0" w:color="auto"/>
            </w:tcBorders>
            <w:shd w:val="clear" w:color="auto" w:fill="D9D9D9"/>
            <w:vAlign w:val="center"/>
          </w:tcPr>
          <w:p w14:paraId="6E517225"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4594F9B1"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Ciljana vrijednost 2026.</w:t>
            </w:r>
          </w:p>
        </w:tc>
        <w:tc>
          <w:tcPr>
            <w:tcW w:w="1105" w:type="dxa"/>
            <w:tcBorders>
              <w:top w:val="single" w:sz="4" w:space="0" w:color="auto"/>
              <w:left w:val="nil"/>
              <w:bottom w:val="single" w:sz="4" w:space="0" w:color="auto"/>
              <w:right w:val="single" w:sz="4" w:space="0" w:color="auto"/>
            </w:tcBorders>
            <w:shd w:val="clear" w:color="auto" w:fill="D9D9D9"/>
            <w:vAlign w:val="center"/>
          </w:tcPr>
          <w:p w14:paraId="7F3BC5B3"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Ciljana vrijednost 2027.</w:t>
            </w:r>
          </w:p>
        </w:tc>
        <w:tc>
          <w:tcPr>
            <w:tcW w:w="1021" w:type="dxa"/>
            <w:tcBorders>
              <w:top w:val="single" w:sz="4" w:space="0" w:color="auto"/>
              <w:left w:val="nil"/>
              <w:bottom w:val="single" w:sz="4" w:space="0" w:color="auto"/>
              <w:right w:val="single" w:sz="4" w:space="0" w:color="auto"/>
            </w:tcBorders>
            <w:shd w:val="clear" w:color="auto" w:fill="D9D9D9"/>
            <w:vAlign w:val="center"/>
          </w:tcPr>
          <w:p w14:paraId="331C7264"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Ciljana vrijednost 2028.</w:t>
            </w:r>
          </w:p>
        </w:tc>
      </w:tr>
      <w:tr w:rsidR="006F4912" w:rsidRPr="006F4912" w14:paraId="675D1E32"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461FFB89"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Broj uspješnih projektnih prijava za projekte primijenjenih istraživanja</w:t>
            </w:r>
          </w:p>
        </w:tc>
        <w:tc>
          <w:tcPr>
            <w:tcW w:w="1560" w:type="dxa"/>
            <w:tcBorders>
              <w:top w:val="single" w:sz="4" w:space="0" w:color="auto"/>
              <w:left w:val="nil"/>
              <w:bottom w:val="single" w:sz="4" w:space="0" w:color="auto"/>
              <w:right w:val="single" w:sz="4" w:space="0" w:color="auto"/>
            </w:tcBorders>
            <w:noWrap/>
          </w:tcPr>
          <w:p w14:paraId="54017F13" w14:textId="77777777" w:rsidR="006F4912" w:rsidRPr="006F4912" w:rsidRDefault="006F4912" w:rsidP="006F4912">
            <w:pPr>
              <w:spacing w:line="256" w:lineRule="auto"/>
              <w:rPr>
                <w:rFonts w:ascii="Times New Roman" w:eastAsia="Times New Roman" w:hAnsi="Times New Roman" w:cs="Times New Roman"/>
                <w:bCs/>
              </w:rPr>
            </w:pPr>
            <w:r w:rsidRPr="006F4912">
              <w:rPr>
                <w:rFonts w:ascii="Times New Roman" w:eastAsia="Calibri" w:hAnsi="Times New Roman" w:cs="Times New Roman"/>
                <w:bCs/>
              </w:rPr>
              <w:t>Poticanje provedbe primijenjenih znanstvenih aktivnosti</w:t>
            </w:r>
          </w:p>
        </w:tc>
        <w:tc>
          <w:tcPr>
            <w:tcW w:w="850" w:type="dxa"/>
            <w:tcBorders>
              <w:top w:val="single" w:sz="4" w:space="0" w:color="auto"/>
              <w:left w:val="nil"/>
              <w:bottom w:val="single" w:sz="4" w:space="0" w:color="auto"/>
              <w:right w:val="single" w:sz="4" w:space="0" w:color="auto"/>
            </w:tcBorders>
            <w:noWrap/>
            <w:vAlign w:val="center"/>
          </w:tcPr>
          <w:p w14:paraId="5874E09B"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16D978F2"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2</w:t>
            </w:r>
          </w:p>
        </w:tc>
        <w:tc>
          <w:tcPr>
            <w:tcW w:w="1276" w:type="dxa"/>
            <w:tcBorders>
              <w:top w:val="single" w:sz="4" w:space="0" w:color="auto"/>
              <w:left w:val="nil"/>
              <w:bottom w:val="single" w:sz="4" w:space="0" w:color="auto"/>
              <w:right w:val="single" w:sz="4" w:space="0" w:color="auto"/>
            </w:tcBorders>
            <w:noWrap/>
            <w:vAlign w:val="center"/>
          </w:tcPr>
          <w:p w14:paraId="30019F33"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 za znanost, poslijedipl.studije i međ. suradnju</w:t>
            </w:r>
          </w:p>
        </w:tc>
        <w:tc>
          <w:tcPr>
            <w:tcW w:w="1134" w:type="dxa"/>
            <w:tcBorders>
              <w:top w:val="single" w:sz="4" w:space="0" w:color="auto"/>
              <w:left w:val="nil"/>
              <w:bottom w:val="single" w:sz="4" w:space="0" w:color="auto"/>
              <w:right w:val="single" w:sz="4" w:space="0" w:color="auto"/>
            </w:tcBorders>
            <w:noWrap/>
            <w:vAlign w:val="center"/>
          </w:tcPr>
          <w:p w14:paraId="494545B6"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w:t>
            </w:r>
          </w:p>
        </w:tc>
        <w:tc>
          <w:tcPr>
            <w:tcW w:w="1105" w:type="dxa"/>
            <w:tcBorders>
              <w:top w:val="single" w:sz="4" w:space="0" w:color="auto"/>
              <w:left w:val="nil"/>
              <w:bottom w:val="single" w:sz="4" w:space="0" w:color="auto"/>
              <w:right w:val="single" w:sz="4" w:space="0" w:color="auto"/>
            </w:tcBorders>
            <w:noWrap/>
            <w:vAlign w:val="center"/>
          </w:tcPr>
          <w:p w14:paraId="01903D53"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w:t>
            </w:r>
          </w:p>
        </w:tc>
        <w:tc>
          <w:tcPr>
            <w:tcW w:w="1021" w:type="dxa"/>
            <w:tcBorders>
              <w:top w:val="single" w:sz="4" w:space="0" w:color="auto"/>
              <w:left w:val="nil"/>
              <w:bottom w:val="single" w:sz="4" w:space="0" w:color="auto"/>
              <w:right w:val="single" w:sz="4" w:space="0" w:color="auto"/>
            </w:tcBorders>
            <w:noWrap/>
            <w:vAlign w:val="center"/>
          </w:tcPr>
          <w:p w14:paraId="158D4357"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6</w:t>
            </w:r>
          </w:p>
        </w:tc>
      </w:tr>
      <w:tr w:rsidR="006F4912" w:rsidRPr="006F4912" w14:paraId="7ED70E7A"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7A5C5557"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Broj formalnih suradnji s gospodarskim subjektima</w:t>
            </w:r>
          </w:p>
        </w:tc>
        <w:tc>
          <w:tcPr>
            <w:tcW w:w="1560" w:type="dxa"/>
            <w:tcBorders>
              <w:top w:val="single" w:sz="4" w:space="0" w:color="auto"/>
              <w:left w:val="nil"/>
              <w:bottom w:val="single" w:sz="4" w:space="0" w:color="auto"/>
              <w:right w:val="single" w:sz="4" w:space="0" w:color="auto"/>
            </w:tcBorders>
            <w:noWrap/>
          </w:tcPr>
          <w:p w14:paraId="4342E5CA" w14:textId="77777777" w:rsidR="006F4912" w:rsidRPr="006F4912" w:rsidRDefault="006F4912" w:rsidP="006F4912">
            <w:pPr>
              <w:spacing w:after="0" w:line="240" w:lineRule="auto"/>
              <w:rPr>
                <w:rFonts w:ascii="Times New Roman" w:eastAsia="Times New Roman" w:hAnsi="Times New Roman" w:cs="Times New Roman"/>
                <w:bCs/>
              </w:rPr>
            </w:pPr>
            <w:r w:rsidRPr="006F4912">
              <w:rPr>
                <w:rFonts w:ascii="Times New Roman" w:eastAsia="Calibri" w:hAnsi="Times New Roman" w:cs="Times New Roman"/>
                <w:bCs/>
              </w:rPr>
              <w:t>Poticanje provedbe primijenjenih znanstvenih aktivnosti</w:t>
            </w:r>
          </w:p>
        </w:tc>
        <w:tc>
          <w:tcPr>
            <w:tcW w:w="850" w:type="dxa"/>
            <w:tcBorders>
              <w:top w:val="single" w:sz="4" w:space="0" w:color="auto"/>
              <w:left w:val="nil"/>
              <w:bottom w:val="single" w:sz="4" w:space="0" w:color="auto"/>
              <w:right w:val="single" w:sz="4" w:space="0" w:color="auto"/>
            </w:tcBorders>
            <w:noWrap/>
            <w:vAlign w:val="center"/>
          </w:tcPr>
          <w:p w14:paraId="78764188"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6BBD05B9"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35</w:t>
            </w:r>
          </w:p>
        </w:tc>
        <w:tc>
          <w:tcPr>
            <w:tcW w:w="1276" w:type="dxa"/>
            <w:tcBorders>
              <w:top w:val="single" w:sz="4" w:space="0" w:color="auto"/>
              <w:left w:val="nil"/>
              <w:bottom w:val="single" w:sz="4" w:space="0" w:color="auto"/>
              <w:right w:val="single" w:sz="4" w:space="0" w:color="auto"/>
            </w:tcBorders>
            <w:noWrap/>
            <w:vAlign w:val="center"/>
          </w:tcPr>
          <w:p w14:paraId="4D918C35" w14:textId="77777777" w:rsidR="006F4912" w:rsidRPr="006F4912" w:rsidRDefault="006F4912" w:rsidP="006F4912">
            <w:pPr>
              <w:spacing w:line="278" w:lineRule="auto"/>
              <w:rPr>
                <w:rFonts w:ascii="Times New Roman" w:eastAsia="Times New Roman" w:hAnsi="Times New Roman" w:cs="Times New Roman"/>
              </w:rPr>
            </w:pPr>
            <w:r w:rsidRPr="006F4912">
              <w:rPr>
                <w:rFonts w:ascii="Times New Roman" w:eastAsia="Times New Roman" w:hAnsi="Times New Roman" w:cs="Times New Roman"/>
              </w:rPr>
              <w:t>Prodekan za financijsko poslovanje i investicije</w:t>
            </w:r>
          </w:p>
        </w:tc>
        <w:tc>
          <w:tcPr>
            <w:tcW w:w="1134" w:type="dxa"/>
            <w:tcBorders>
              <w:top w:val="single" w:sz="4" w:space="0" w:color="auto"/>
              <w:left w:val="nil"/>
              <w:bottom w:val="single" w:sz="4" w:space="0" w:color="auto"/>
              <w:right w:val="single" w:sz="4" w:space="0" w:color="auto"/>
            </w:tcBorders>
            <w:noWrap/>
            <w:vAlign w:val="center"/>
          </w:tcPr>
          <w:p w14:paraId="63BCACC9"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36</w:t>
            </w:r>
          </w:p>
        </w:tc>
        <w:tc>
          <w:tcPr>
            <w:tcW w:w="1105" w:type="dxa"/>
            <w:tcBorders>
              <w:top w:val="single" w:sz="4" w:space="0" w:color="auto"/>
              <w:left w:val="nil"/>
              <w:bottom w:val="single" w:sz="4" w:space="0" w:color="auto"/>
              <w:right w:val="single" w:sz="4" w:space="0" w:color="auto"/>
            </w:tcBorders>
            <w:noWrap/>
            <w:vAlign w:val="center"/>
          </w:tcPr>
          <w:p w14:paraId="583D8B90"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38</w:t>
            </w:r>
          </w:p>
        </w:tc>
        <w:tc>
          <w:tcPr>
            <w:tcW w:w="1021" w:type="dxa"/>
            <w:tcBorders>
              <w:top w:val="single" w:sz="4" w:space="0" w:color="auto"/>
              <w:left w:val="nil"/>
              <w:bottom w:val="single" w:sz="4" w:space="0" w:color="auto"/>
              <w:right w:val="single" w:sz="4" w:space="0" w:color="auto"/>
            </w:tcBorders>
            <w:noWrap/>
            <w:vAlign w:val="center"/>
          </w:tcPr>
          <w:p w14:paraId="4C1FE668"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41</w:t>
            </w:r>
          </w:p>
        </w:tc>
      </w:tr>
    </w:tbl>
    <w:p w14:paraId="1B535156" w14:textId="77777777" w:rsidR="006F4912" w:rsidRPr="006F4912" w:rsidRDefault="006F4912" w:rsidP="006F4912">
      <w:pPr>
        <w:spacing w:line="256" w:lineRule="auto"/>
        <w:ind w:firstLine="708"/>
        <w:rPr>
          <w:rFonts w:ascii="Times New Roman" w:eastAsia="Calibri" w:hAnsi="Times New Roman" w:cs="Times New Roman"/>
          <w:bCs/>
        </w:rPr>
      </w:pPr>
    </w:p>
    <w:p w14:paraId="66642330" w14:textId="77777777" w:rsidR="006F4912" w:rsidRPr="006F4912" w:rsidRDefault="006F4912" w:rsidP="006F4912">
      <w:pPr>
        <w:spacing w:line="256" w:lineRule="auto"/>
        <w:jc w:val="both"/>
        <w:rPr>
          <w:rFonts w:ascii="Times New Roman" w:eastAsia="Calibri" w:hAnsi="Times New Roman" w:cs="Times New Roman"/>
          <w:b/>
        </w:rPr>
      </w:pPr>
      <w:r w:rsidRPr="006F4912">
        <w:rPr>
          <w:rFonts w:ascii="Times New Roman" w:eastAsia="Calibri" w:hAnsi="Times New Roman" w:cs="Times New Roman"/>
          <w:b/>
        </w:rPr>
        <w:t>CILJ 3: POVEĆANJE, RELEVANTNOSTI, KVALITETE I UČINKOVITOSTI STUDIRANJA</w:t>
      </w:r>
    </w:p>
    <w:p w14:paraId="2AA6C533" w14:textId="77777777" w:rsidR="006F4912" w:rsidRPr="006F4912" w:rsidRDefault="006F4912" w:rsidP="006F4912">
      <w:pPr>
        <w:tabs>
          <w:tab w:val="left" w:pos="7410"/>
        </w:tabs>
        <w:spacing w:after="0" w:line="256" w:lineRule="auto"/>
        <w:jc w:val="both"/>
        <w:rPr>
          <w:rFonts w:ascii="Times New Roman" w:eastAsia="Calibri" w:hAnsi="Times New Roman" w:cs="Times New Roman"/>
          <w:b/>
          <w:sz w:val="24"/>
          <w:szCs w:val="24"/>
          <w:shd w:val="clear" w:color="auto" w:fill="E7E6E6"/>
        </w:rPr>
      </w:pPr>
    </w:p>
    <w:p w14:paraId="5AE80A6B" w14:textId="77777777" w:rsidR="006F4912" w:rsidRPr="006F4912" w:rsidRDefault="006F4912" w:rsidP="006F4912">
      <w:pPr>
        <w:spacing w:line="256" w:lineRule="auto"/>
        <w:jc w:val="both"/>
        <w:rPr>
          <w:rFonts w:ascii="Times New Roman" w:eastAsia="Calibri" w:hAnsi="Times New Roman" w:cs="Times New Roman"/>
          <w:b/>
          <w:bCs/>
          <w:sz w:val="24"/>
          <w:szCs w:val="24"/>
        </w:rPr>
      </w:pPr>
      <w:r w:rsidRPr="006F4912">
        <w:rPr>
          <w:rFonts w:ascii="Times New Roman" w:eastAsia="Calibri" w:hAnsi="Times New Roman" w:cs="Times New Roman"/>
          <w:b/>
          <w:bCs/>
          <w:sz w:val="24"/>
          <w:szCs w:val="24"/>
        </w:rPr>
        <w:t>3.1. Internacionalizacija doktorskog studija</w:t>
      </w:r>
    </w:p>
    <w:p w14:paraId="12E4A35C" w14:textId="77777777" w:rsidR="006F4912" w:rsidRPr="006F4912" w:rsidRDefault="006F4912" w:rsidP="006F4912">
      <w:pPr>
        <w:spacing w:line="256" w:lineRule="auto"/>
        <w:jc w:val="both"/>
        <w:rPr>
          <w:rFonts w:ascii="Times New Roman" w:eastAsia="Calibri" w:hAnsi="Times New Roman" w:cs="Times New Roman"/>
          <w:b/>
          <w:bCs/>
          <w:sz w:val="24"/>
          <w:szCs w:val="24"/>
        </w:rPr>
      </w:pPr>
      <w:r w:rsidRPr="006F4912">
        <w:rPr>
          <w:rFonts w:ascii="Times New Roman" w:eastAsia="Calibri" w:hAnsi="Times New Roman" w:cs="Times New Roman"/>
          <w:sz w:val="24"/>
          <w:szCs w:val="24"/>
          <w:shd w:val="clear" w:color="auto" w:fill="FFFFFF"/>
        </w:rPr>
        <w:t>Uspostava doktorskog studija na engleskom jeziku s ciljem privlačenja stranih studenata. Aktivnost uključuje jačanje jezičnih kompetencija nastavnika i djela administrativnog osoblja (djelatnici referade za poslijediplomske studije), izradu digitalnih nastavnih materijala, prijevod ključnih strateških domumenata, promocija studija na engleskom jeziku.</w:t>
      </w:r>
      <w:r w:rsidRPr="006F4912">
        <w:rPr>
          <w:rFonts w:ascii="Times New Roman" w:eastAsia="Calibri" w:hAnsi="Times New Roman" w:cs="Times New Roman"/>
          <w:b/>
          <w:sz w:val="24"/>
          <w:szCs w:val="24"/>
          <w:shd w:val="clear" w:color="auto" w:fill="E7E6E6"/>
        </w:rPr>
        <w:t xml:space="preserve"> </w:t>
      </w:r>
    </w:p>
    <w:p w14:paraId="685BB6E5" w14:textId="77777777" w:rsidR="006F4912" w:rsidRPr="006F4912" w:rsidRDefault="006F4912" w:rsidP="006F4912">
      <w:pPr>
        <w:spacing w:after="0" w:line="256" w:lineRule="auto"/>
        <w:jc w:val="both"/>
        <w:rPr>
          <w:rFonts w:ascii="Times New Roman" w:eastAsia="Calibri" w:hAnsi="Times New Roman" w:cs="Times New Roman"/>
          <w:b/>
          <w:sz w:val="24"/>
          <w:szCs w:val="24"/>
          <w:shd w:val="clear" w:color="auto" w:fill="E7E6E6"/>
        </w:rPr>
      </w:pPr>
    </w:p>
    <w:p w14:paraId="21844B0E" w14:textId="77777777" w:rsidR="006F4912" w:rsidRPr="006F4912" w:rsidRDefault="006F4912" w:rsidP="006F4912">
      <w:pPr>
        <w:spacing w:line="256" w:lineRule="auto"/>
        <w:jc w:val="both"/>
        <w:rPr>
          <w:rFonts w:ascii="Times New Roman" w:eastAsia="Calibri" w:hAnsi="Times New Roman" w:cs="Times New Roman"/>
          <w:b/>
          <w:bCs/>
          <w:sz w:val="24"/>
          <w:szCs w:val="24"/>
        </w:rPr>
      </w:pPr>
      <w:r w:rsidRPr="006F4912">
        <w:rPr>
          <w:rFonts w:ascii="Times New Roman" w:eastAsia="Calibri" w:hAnsi="Times New Roman" w:cs="Times New Roman"/>
          <w:b/>
          <w:bCs/>
          <w:sz w:val="24"/>
          <w:szCs w:val="24"/>
        </w:rPr>
        <w:t xml:space="preserve">3.2. Unaprijeđenje pedagoškog okvira uvođenjem suvremenih metoda i tehnologija s naglaskom na digitalne alate </w:t>
      </w:r>
    </w:p>
    <w:p w14:paraId="6B402615" w14:textId="77777777" w:rsidR="006F4912" w:rsidRPr="006F4912" w:rsidRDefault="006F4912" w:rsidP="006F4912">
      <w:pPr>
        <w:spacing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Aktivnost je usmjerena na unapređivanje pedagoškog okvira nastavnika i studenata Veterinarskog fakulteta, uključujući uvođenje suvremenih metoda i tehnologija poučavanja u nastavi te digitalnih alata za provjeru znanja, vještina i kompetencija, uz provedbu konstruktivno poravnatog kurikuluma do 2030. godine.</w:t>
      </w:r>
    </w:p>
    <w:p w14:paraId="1701F735" w14:textId="77777777" w:rsidR="006F4912" w:rsidRPr="006F4912" w:rsidRDefault="006F4912" w:rsidP="006F4912">
      <w:pPr>
        <w:spacing w:after="0"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Planirane su sljedeće ključne aktivnosti:</w:t>
      </w:r>
    </w:p>
    <w:p w14:paraId="41755E3B" w14:textId="77777777" w:rsidR="006F4912" w:rsidRPr="006F4912" w:rsidRDefault="006F4912" w:rsidP="006F4912">
      <w:pPr>
        <w:numPr>
          <w:ilvl w:val="0"/>
          <w:numId w:val="16"/>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Uvođenje dvojezičnog digitalnog portfelja za studente integriranih sveučilišnih studija koji omogućuje sustavno praćenje napretka i stjecanja kompetencija.</w:t>
      </w:r>
    </w:p>
    <w:p w14:paraId="4EACDD31" w14:textId="77777777" w:rsidR="006F4912" w:rsidRPr="006F4912" w:rsidRDefault="006F4912" w:rsidP="006F4912">
      <w:pPr>
        <w:numPr>
          <w:ilvl w:val="0"/>
          <w:numId w:val="16"/>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xml:space="preserve">Izrada dvojezičnih digitalnih obrazovnih sadržaja koji su usmjereni na inovaciju metoda poučavanja i stjecanje znanja te nabava specijaliziranih softvera za interaktivno učenje.                                                                                                                                          </w:t>
      </w:r>
    </w:p>
    <w:p w14:paraId="58AE7FE2" w14:textId="77777777" w:rsidR="006F4912" w:rsidRPr="006F4912" w:rsidRDefault="006F4912" w:rsidP="006F4912">
      <w:pPr>
        <w:numPr>
          <w:ilvl w:val="0"/>
          <w:numId w:val="16"/>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Digitalizacija i interaktivizacija predavanja kroz podupiranje izrade i primjenu alata za suradničko učenje (npr. izrada dokumenta za zajednički rad u stvarnom vremenu).</w:t>
      </w:r>
    </w:p>
    <w:p w14:paraId="396CEE33" w14:textId="77777777" w:rsidR="006F4912" w:rsidRPr="006F4912" w:rsidRDefault="006F4912" w:rsidP="006F4912">
      <w:pPr>
        <w:numPr>
          <w:ilvl w:val="0"/>
          <w:numId w:val="16"/>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xml:space="preserve">Nabava modela i simulacijskih pomagala za razvoj kliničkih vještina u sigurnom okružju prije rada sa živim životinjama, u sklopu Kliničkog laboratorija vještina (Clinical Skills Laboratory – CSL). </w:t>
      </w:r>
    </w:p>
    <w:p w14:paraId="22FADFFD" w14:textId="77777777" w:rsidR="006F4912" w:rsidRPr="006F4912" w:rsidRDefault="006F4912" w:rsidP="006F4912">
      <w:pPr>
        <w:numPr>
          <w:ilvl w:val="0"/>
          <w:numId w:val="16"/>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Razvoj virtualnih laboratorija i digitalnih praktikumskih vježbi, koji omogućuju izvođenje dijela vježbi u online okružju s naglaskom na sigurnost, dostupnost i ponovljivost procesa (Virtualna klaonica).</w:t>
      </w:r>
    </w:p>
    <w:p w14:paraId="0D6FAF00" w14:textId="77777777" w:rsidR="006F4912" w:rsidRPr="006F4912" w:rsidRDefault="006F4912" w:rsidP="006F4912">
      <w:pPr>
        <w:numPr>
          <w:ilvl w:val="0"/>
          <w:numId w:val="16"/>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xml:space="preserve">  Nabava digitalnih mikroskopa za rad u grupama i analizu uzoraka u stvarnom vremenu i sl.                                                                                                                                                                                                                                                                                                                                                                                                          </w:t>
      </w:r>
    </w:p>
    <w:p w14:paraId="10994E6C" w14:textId="77777777" w:rsidR="006F4912" w:rsidRPr="006F4912" w:rsidRDefault="006F4912" w:rsidP="006F4912">
      <w:pPr>
        <w:numPr>
          <w:ilvl w:val="0"/>
          <w:numId w:val="16"/>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xml:space="preserve">Nabava i razvoj virtualnih i proširenih stvarnosti (VR/AR) studijskih slučajeva i simulacija, interaktivnih anatomskih platformi i pametnih ploča u svrhu osiguravanja sigurnije, učinkovitije i etički prihvatljivije nastave temeljenje na vizualno podržanom učenju.                                                                                                                                          </w:t>
      </w:r>
    </w:p>
    <w:p w14:paraId="64623A48" w14:textId="77777777" w:rsidR="006F4912" w:rsidRPr="006F4912" w:rsidRDefault="006F4912" w:rsidP="006F4912">
      <w:pPr>
        <w:numPr>
          <w:ilvl w:val="0"/>
          <w:numId w:val="16"/>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xml:space="preserve">Uređenje i infrastrukturno opremanje 2 modularne učionice. </w:t>
      </w:r>
    </w:p>
    <w:p w14:paraId="2762CD13" w14:textId="77777777" w:rsidR="006F4912" w:rsidRPr="006F4912" w:rsidRDefault="006F4912" w:rsidP="006F4912">
      <w:pPr>
        <w:numPr>
          <w:ilvl w:val="0"/>
          <w:numId w:val="16"/>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Izgradnja modernog lonžirnog kruga s pametnim sustavom regulacije vlažnosti radi unaprjeđenja sigurnosti pri radu s velikim životinjama (konjima).</w:t>
      </w:r>
    </w:p>
    <w:p w14:paraId="1462217B" w14:textId="77777777" w:rsidR="006F4912" w:rsidRPr="006F4912" w:rsidRDefault="006F4912" w:rsidP="006F4912">
      <w:pPr>
        <w:numPr>
          <w:ilvl w:val="0"/>
          <w:numId w:val="16"/>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Organizacija stručnih edukacija o aktivnim metodama poučavanja za nastavnike, vanjske stručne mentore (dionike stručne prakse) i studente Fakulteta.</w:t>
      </w:r>
    </w:p>
    <w:p w14:paraId="13AB1B6A" w14:textId="77777777" w:rsidR="006F4912" w:rsidRPr="006F4912" w:rsidRDefault="006F4912" w:rsidP="006F4912">
      <w:pPr>
        <w:numPr>
          <w:ilvl w:val="0"/>
          <w:numId w:val="16"/>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Uvođenje sustava nagrađivanja nastavnika za inovacije u poučavanju i izradu novih digitalnih nastavnih materijala.</w:t>
      </w:r>
    </w:p>
    <w:p w14:paraId="26478009" w14:textId="77777777" w:rsidR="006F4912" w:rsidRPr="006F4912" w:rsidRDefault="006F4912" w:rsidP="006F4912">
      <w:pPr>
        <w:numPr>
          <w:ilvl w:val="0"/>
          <w:numId w:val="16"/>
        </w:numPr>
        <w:spacing w:after="0" w:line="256" w:lineRule="auto"/>
        <w:contextualSpacing/>
        <w:jc w:val="both"/>
        <w:rPr>
          <w:rFonts w:ascii="Times New Roman" w:eastAsia="Calibri" w:hAnsi="Times New Roman" w:cs="Times New Roman"/>
          <w:b/>
          <w:sz w:val="24"/>
          <w:szCs w:val="24"/>
          <w:shd w:val="clear" w:color="auto" w:fill="E7E6E6"/>
        </w:rPr>
      </w:pPr>
      <w:r w:rsidRPr="006F4912">
        <w:rPr>
          <w:rFonts w:ascii="Times New Roman" w:eastAsia="Times New Roman" w:hAnsi="Times New Roman" w:cs="Times New Roman"/>
          <w:sz w:val="24"/>
          <w:szCs w:val="24"/>
        </w:rPr>
        <w:t xml:space="preserve"> Razvoj AI chatbota za pružanje podrške studentima u učenju i pripremi ispita.</w:t>
      </w:r>
    </w:p>
    <w:p w14:paraId="20079A89" w14:textId="77777777" w:rsidR="006F4912" w:rsidRPr="006F4912" w:rsidRDefault="006F4912" w:rsidP="006F4912">
      <w:pPr>
        <w:spacing w:line="256" w:lineRule="auto"/>
        <w:jc w:val="both"/>
        <w:rPr>
          <w:rFonts w:ascii="Times New Roman" w:eastAsia="Calibri" w:hAnsi="Times New Roman" w:cs="Times New Roman"/>
          <w:b/>
          <w:sz w:val="24"/>
          <w:szCs w:val="24"/>
          <w:shd w:val="clear" w:color="auto" w:fill="E7E6E6"/>
        </w:rPr>
      </w:pPr>
    </w:p>
    <w:p w14:paraId="5EC03543" w14:textId="77777777" w:rsidR="006F4912" w:rsidRPr="006F4912" w:rsidRDefault="006F4912" w:rsidP="006F4912">
      <w:pPr>
        <w:spacing w:line="256" w:lineRule="auto"/>
        <w:jc w:val="both"/>
        <w:rPr>
          <w:rFonts w:ascii="Times New Roman" w:eastAsia="Calibri" w:hAnsi="Times New Roman" w:cs="Times New Roman"/>
          <w:b/>
          <w:bCs/>
          <w:sz w:val="24"/>
          <w:szCs w:val="24"/>
        </w:rPr>
      </w:pPr>
      <w:r w:rsidRPr="006F4912">
        <w:rPr>
          <w:rFonts w:ascii="Times New Roman" w:eastAsia="Calibri" w:hAnsi="Times New Roman" w:cs="Times New Roman"/>
          <w:b/>
          <w:bCs/>
          <w:sz w:val="24"/>
          <w:szCs w:val="24"/>
        </w:rPr>
        <w:t>3.3. Jačanje kapaciteta digitalnih slikovno dijagnostičkih metoda za zadržavanje konkurentnosti studijskih programa</w:t>
      </w:r>
    </w:p>
    <w:p w14:paraId="0EC82DB9" w14:textId="77777777" w:rsidR="006F4912" w:rsidRPr="006F4912" w:rsidRDefault="006F4912" w:rsidP="006F4912">
      <w:pPr>
        <w:spacing w:line="256" w:lineRule="auto"/>
        <w:jc w:val="both"/>
        <w:rPr>
          <w:rFonts w:ascii="Times New Roman" w:eastAsia="Calibri" w:hAnsi="Times New Roman" w:cs="Times New Roman"/>
          <w:b/>
          <w:sz w:val="24"/>
          <w:szCs w:val="24"/>
          <w:shd w:val="clear" w:color="auto" w:fill="E7E6E6"/>
        </w:rPr>
      </w:pPr>
      <w:r w:rsidRPr="006F4912">
        <w:rPr>
          <w:rFonts w:ascii="Times New Roman" w:eastAsia="Calibri" w:hAnsi="Times New Roman" w:cs="Times New Roman"/>
          <w:sz w:val="24"/>
          <w:szCs w:val="24"/>
          <w:shd w:val="clear" w:color="auto" w:fill="FFFFFF"/>
        </w:rPr>
        <w:t>S ciljem uvođenja novih nastavnih jedinica u kurikulum svih razina studijskih programa, implementacije učenja na daljinu, telemedicine i teleradiologije neophodno je financijsko ulaganje u nabavu suvremene opreme za slikovnu dijagnostiku, fluoroskop za interventnu radiologiju, kirurgiju i kardiologiju, ultrazvučnih softvera te edukacija osoblja za rad na novim dijagnostičkim i terapijskim metodama.</w:t>
      </w:r>
    </w:p>
    <w:p w14:paraId="308ED8A4" w14:textId="77777777" w:rsidR="006F4912" w:rsidRPr="006F4912" w:rsidRDefault="006F4912" w:rsidP="006F4912">
      <w:pPr>
        <w:spacing w:line="256" w:lineRule="auto"/>
        <w:jc w:val="both"/>
        <w:rPr>
          <w:rFonts w:ascii="Times New Roman" w:eastAsia="Calibri" w:hAnsi="Times New Roman" w:cs="Times New Roman"/>
          <w:b/>
          <w:bCs/>
          <w:sz w:val="24"/>
          <w:szCs w:val="24"/>
        </w:rPr>
      </w:pPr>
      <w:r w:rsidRPr="006F4912">
        <w:rPr>
          <w:rFonts w:ascii="Times New Roman" w:eastAsia="Calibri" w:hAnsi="Times New Roman" w:cs="Times New Roman"/>
          <w:b/>
          <w:bCs/>
          <w:sz w:val="24"/>
          <w:szCs w:val="24"/>
        </w:rPr>
        <w:t>3.4. Unaprijeđenje nastavničkih kompetencija sudjelovanjem u akreditiranim obrazovnim programima</w:t>
      </w:r>
    </w:p>
    <w:p w14:paraId="7319DB86" w14:textId="77777777" w:rsidR="006F4912" w:rsidRPr="006F4912" w:rsidRDefault="006F4912" w:rsidP="006F4912">
      <w:pPr>
        <w:shd w:val="clear" w:color="auto" w:fill="FFFFFF"/>
        <w:spacing w:after="0"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Svrha aktivnosti je pružiti podršku nastavnicima Fakulteta u razvoju i unaprjeđenju nastavničkih kompetencija. Planirano je financijsko poticanje sudjelovanja djelatnika u akreditiranim obrazovnim programima, posebno onima koji nose 30 ili više ECTS bodova, izvan matične institucije.</w:t>
      </w:r>
    </w:p>
    <w:p w14:paraId="42079C9D" w14:textId="77777777" w:rsidR="006F4912" w:rsidRPr="006F4912" w:rsidRDefault="006F4912" w:rsidP="006F4912">
      <w:pPr>
        <w:shd w:val="clear" w:color="auto" w:fill="FFFFFF"/>
        <w:spacing w:after="0"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Poseban naglasak stavlja se na program Nastavničke kompetencije za suvremenu visokoškolsku nastavu (Nastavis) i sličnim programima, koji provodi Filozofski fakultet Sveučilišta u Zagrebu. Program se temelji na standardima Hrvatskog kvalifikacijskog okvira i donosi 30 ECTS bodova. Planira se godišnje financiranje 3 polaznika (kandidata za mjesto docenta).</w:t>
      </w:r>
    </w:p>
    <w:p w14:paraId="39101378" w14:textId="77777777" w:rsidR="006F4912" w:rsidRPr="006F4912" w:rsidRDefault="006F4912" w:rsidP="006F4912">
      <w:pPr>
        <w:spacing w:line="256" w:lineRule="auto"/>
        <w:jc w:val="both"/>
        <w:rPr>
          <w:rFonts w:ascii="Times New Roman" w:eastAsia="Calibri" w:hAnsi="Times New Roman" w:cs="Times New Roman"/>
          <w:b/>
          <w:bCs/>
          <w:sz w:val="24"/>
          <w:szCs w:val="24"/>
        </w:rPr>
      </w:pPr>
    </w:p>
    <w:p w14:paraId="38C7B3AB" w14:textId="77777777" w:rsidR="006F4912" w:rsidRPr="006F4912" w:rsidRDefault="006F4912" w:rsidP="006F4912">
      <w:pPr>
        <w:spacing w:line="256" w:lineRule="auto"/>
        <w:jc w:val="both"/>
        <w:rPr>
          <w:rFonts w:ascii="Times New Roman" w:eastAsia="Calibri" w:hAnsi="Times New Roman" w:cs="Times New Roman"/>
          <w:b/>
          <w:bCs/>
          <w:sz w:val="24"/>
          <w:szCs w:val="24"/>
        </w:rPr>
      </w:pPr>
      <w:r w:rsidRPr="006F4912">
        <w:rPr>
          <w:rFonts w:ascii="Times New Roman" w:eastAsia="Calibri" w:hAnsi="Times New Roman" w:cs="Times New Roman"/>
          <w:b/>
          <w:bCs/>
          <w:sz w:val="24"/>
          <w:szCs w:val="24"/>
        </w:rPr>
        <w:t>3.5. Stjecanje praktičnih kompetencija studenata pohađanjem stručne prakse kod gospodarskih i javnih subjekata u opterećenju najmanje 5 ECTS</w:t>
      </w:r>
    </w:p>
    <w:p w14:paraId="60446F20" w14:textId="77777777" w:rsidR="006F4912" w:rsidRPr="006F4912" w:rsidRDefault="006F4912" w:rsidP="006F4912">
      <w:pPr>
        <w:spacing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xml:space="preserve">Stručna praksa, osobito ona u šestoj godini integriranog studija, važan je element obrazovnog procesa doktora veterinarske medicine (180 sati, 18 ECTS). Provodi se izvan Fakulteta u suradnji s gospodarskim i javnim sektorom. Cilj stručne prakse jest provjera i usavršavanje tzv. kompetencija prvog dana (Day One Competences - DOC, prema dokumentu „List of Subjects and Day One Competences“, usvojenom od strane ECCVT-a, 17. siječnja 2019.), koje su ključne za samostalan rad u veterinarskoj struci. Trenutno se provjera stečenih kompetencija (DOC) provodi putem tiskanog Dnevnika stručne prakse (na hrvatskom i engleskom jeziku), koji vode stručni mentori izvan Fakulteta. </w:t>
      </w:r>
    </w:p>
    <w:p w14:paraId="3C680DD2" w14:textId="77777777" w:rsidR="006F4912" w:rsidRPr="006F4912" w:rsidRDefault="006F4912" w:rsidP="006F4912">
      <w:pPr>
        <w:spacing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Planirane aktivnosti uključuju financijsku potporu za:</w:t>
      </w:r>
    </w:p>
    <w:p w14:paraId="7EE6FA0A" w14:textId="77777777" w:rsidR="006F4912" w:rsidRPr="006F4912" w:rsidRDefault="006F4912" w:rsidP="006F4912">
      <w:pPr>
        <w:spacing w:line="256" w:lineRule="auto"/>
        <w:ind w:firstLine="708"/>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1. Digitalizaciju i modernizaciju sustava praćenja prakse, uključujući:</w:t>
      </w:r>
    </w:p>
    <w:p w14:paraId="7E136025" w14:textId="77777777" w:rsidR="006F4912" w:rsidRPr="006F4912" w:rsidRDefault="006F4912" w:rsidP="006F4912">
      <w:pPr>
        <w:spacing w:line="256" w:lineRule="auto"/>
        <w:ind w:firstLine="708"/>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uvođenje digitalnih dnevnika prakse (e-logbook) za praćenje napretka i stjecanja kompetencija u stvarnom vremenu (npr. online baza poslova/praksi);</w:t>
      </w:r>
    </w:p>
    <w:p w14:paraId="485C57DD" w14:textId="77777777" w:rsidR="006F4912" w:rsidRPr="006F4912" w:rsidRDefault="006F4912" w:rsidP="006F4912">
      <w:pPr>
        <w:spacing w:line="256" w:lineRule="auto"/>
        <w:ind w:firstLine="708"/>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xml:space="preserve">- povećanje atraktivnosti stručne prakse, osobito u području rada s farmskim životinjama, kroz modernizaciju sadržaja i pristupa što uključuje nabavu prijenosne dijagnostičke opreme (prijenosni ultrazvučni uređaji, analizatori uzoraka krvi i mlijeka na terenu i sl.); razvoj virtualnih tutorijala i obrazovnih video materijala za pripremu studenata prije sudjelovanja u stručnoj praksi.                                                                                                                      </w:t>
      </w:r>
    </w:p>
    <w:p w14:paraId="19A38CD5" w14:textId="77777777" w:rsidR="006F4912" w:rsidRPr="006F4912" w:rsidRDefault="006F4912" w:rsidP="006F4912">
      <w:pPr>
        <w:spacing w:line="256" w:lineRule="auto"/>
        <w:ind w:firstLine="708"/>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xml:space="preserve">2. Edukaciju i podršku vanjskim mentorima kroz organizaciju redovitih edukacija o suvremenim metodama poučavanja, mentorskim vještinama i vrednovanju kompetencija; izradu priručnika za farmere i mentore o njihovoj ulozi u obrazovnom procesu;                                                                                                                               </w:t>
      </w:r>
    </w:p>
    <w:p w14:paraId="325E8F29" w14:textId="77777777" w:rsidR="006F4912" w:rsidRPr="006F4912" w:rsidRDefault="006F4912" w:rsidP="006F4912">
      <w:pPr>
        <w:spacing w:line="256" w:lineRule="auto"/>
        <w:ind w:firstLine="708"/>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xml:space="preserve">3. Reviziju i standardizaciju praktičnih kompetencija (kroz izradu popisa temeljnih praktičnih kompetencija potrebnih za rad s farmskim životinjama u suradnji s poslodavcima, stručnim udrugama i veterinarskom strukom; usklađivanje popisa kompetencija s europskim i međunarodnim standardima (npr. EAEVE); definiranje minimalnog broja postupaka i slučajeva koje student mora samostalno provesti pod nadzorom);                                                                                                           </w:t>
      </w:r>
    </w:p>
    <w:p w14:paraId="4FA5CA31" w14:textId="0C656055" w:rsidR="006F4912" w:rsidRPr="006F4912" w:rsidRDefault="006F4912" w:rsidP="00607F29">
      <w:pPr>
        <w:spacing w:line="256" w:lineRule="auto"/>
        <w:ind w:firstLine="708"/>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4. Razvoj sustavnog i višekanalnog programa popularizacije rada s velikim životinjama s ciljem jačanja te poticanja interesa studenata.  Aktivnosti će se nadopuniti serijom tribina i predavanja, suradnjom s gospodarstvenim i javnim subjektima u zajedničkim edukativnim programima. U medijskom prostoru i na društvenim mrežama pokrenut će se digitalna kampanja kroz video objave, infografike i serijale koji približavaju rad s velikim životinjama studentima i onima koji će to tek postati.</w:t>
      </w:r>
    </w:p>
    <w:p w14:paraId="264AA0D4" w14:textId="77777777" w:rsidR="006F4912" w:rsidRPr="006F4912" w:rsidRDefault="006F4912" w:rsidP="006F4912">
      <w:pPr>
        <w:spacing w:line="256" w:lineRule="auto"/>
        <w:jc w:val="both"/>
        <w:rPr>
          <w:rFonts w:ascii="Times New Roman" w:eastAsia="Calibri" w:hAnsi="Times New Roman" w:cs="Times New Roman"/>
          <w:b/>
          <w:sz w:val="24"/>
          <w:szCs w:val="24"/>
        </w:rPr>
      </w:pPr>
      <w:r w:rsidRPr="006F4912">
        <w:rPr>
          <w:rFonts w:ascii="Times New Roman" w:eastAsia="Calibri" w:hAnsi="Times New Roman" w:cs="Times New Roman"/>
          <w:b/>
          <w:sz w:val="24"/>
          <w:szCs w:val="24"/>
        </w:rPr>
        <w:t xml:space="preserve">3.6. Povećanje međunarodne visokoobrazovne suradnje - </w:t>
      </w:r>
      <w:r w:rsidRPr="006F4912">
        <w:rPr>
          <w:rFonts w:ascii="Times New Roman" w:eastAsia="Calibri" w:hAnsi="Times New Roman" w:cs="Times New Roman"/>
          <w:b/>
          <w:bCs/>
          <w:sz w:val="24"/>
          <w:szCs w:val="24"/>
        </w:rPr>
        <w:t>Poticanje međunarodne mobilnosti nastavnika</w:t>
      </w:r>
    </w:p>
    <w:p w14:paraId="1808B57E" w14:textId="77777777" w:rsidR="006F4912" w:rsidRPr="006F4912" w:rsidRDefault="006F4912" w:rsidP="006F4912">
      <w:pPr>
        <w:shd w:val="clear" w:color="auto" w:fill="FFFFFF"/>
        <w:spacing w:after="0"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xml:space="preserve">Cilj Fakulteta je povećati broj ostvarivih i dostatno financiranih bilateralnih ugovora o suradnji između Fakulteta i stranih partnera, posebno u sklopu inicijative europskih sveučilišta, ali i onih koji nisu obuhvaćene europskim mrežama suradnje. Aktivnost uključuje sufinanciranje poticanja razmjene nastavnika visokih učilišta kroz dolazne i odlazne oblike međunarodne mobilnosti, uz obvezu održavanja najmanje pet sati nastave.                                                                                                           </w:t>
      </w:r>
    </w:p>
    <w:p w14:paraId="21275966" w14:textId="77777777" w:rsidR="006F4912" w:rsidRPr="006F4912" w:rsidRDefault="006F4912" w:rsidP="006F4912">
      <w:pPr>
        <w:shd w:val="clear" w:color="auto" w:fill="FFFFFF"/>
        <w:spacing w:after="0"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Razvoj i provedba poticajnog financiranja usmjerena je na:</w:t>
      </w:r>
    </w:p>
    <w:p w14:paraId="7D9D617D" w14:textId="77777777" w:rsidR="006F4912" w:rsidRPr="006F4912" w:rsidRDefault="006F4912" w:rsidP="006F4912">
      <w:pPr>
        <w:shd w:val="clear" w:color="auto" w:fill="FFFFFF"/>
        <w:spacing w:after="0"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administrativnu podršku nastavnicima u pripremi mobilnosti,</w:t>
      </w:r>
    </w:p>
    <w:p w14:paraId="19B1E489" w14:textId="77777777" w:rsidR="006F4912" w:rsidRPr="006F4912" w:rsidRDefault="006F4912" w:rsidP="006F4912">
      <w:pPr>
        <w:shd w:val="clear" w:color="auto" w:fill="FFFFFF"/>
        <w:spacing w:after="0"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osiguravanje dodatnih financijskih sredstava za kraće mobilnosti (do pet dana),</w:t>
      </w:r>
    </w:p>
    <w:p w14:paraId="58991371" w14:textId="77777777" w:rsidR="006F4912" w:rsidRPr="006F4912" w:rsidRDefault="006F4912" w:rsidP="006F4912">
      <w:pPr>
        <w:shd w:val="clear" w:color="auto" w:fill="FFFFFF"/>
        <w:spacing w:after="0"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jačanje suradnje kroz postojeće ugovore te sklapanje novih sa srodnim institucijama u regiji i svijetu,</w:t>
      </w:r>
    </w:p>
    <w:p w14:paraId="038BAE52" w14:textId="77777777" w:rsidR="006F4912" w:rsidRPr="006F4912" w:rsidRDefault="006F4912" w:rsidP="006F4912">
      <w:pPr>
        <w:shd w:val="clear" w:color="auto" w:fill="FFFFFF"/>
        <w:spacing w:after="0"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organizaciju zajedničkih ljetnih škola, konferencija i radionica,</w:t>
      </w:r>
    </w:p>
    <w:p w14:paraId="20AB3238" w14:textId="77777777" w:rsidR="006F4912" w:rsidRPr="006F4912" w:rsidRDefault="006F4912" w:rsidP="006F4912">
      <w:pPr>
        <w:shd w:val="clear" w:color="auto" w:fill="FFFFFF"/>
        <w:spacing w:after="0"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promidžbu međunarodne aktivnosti nastavnika, uključujući izradu promotivnih materijala, digitalizaciju sustava prijava te informiranje o uspješnim primjerima u internim i vanjskim medijima Fakulteta,</w:t>
      </w:r>
    </w:p>
    <w:p w14:paraId="62B24B2F" w14:textId="77777777" w:rsidR="006F4912" w:rsidRPr="006F4912" w:rsidRDefault="006F4912" w:rsidP="006F4912">
      <w:pPr>
        <w:shd w:val="clear" w:color="auto" w:fill="FFFFFF"/>
        <w:spacing w:after="0"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povećanje vidljivosti i motivacije za mobilnost kroz organizaciju internih informativnih događanja i promociju povratničkih iskustava putem fakultetskih kanala,</w:t>
      </w:r>
    </w:p>
    <w:p w14:paraId="6CFB36CB" w14:textId="77777777" w:rsidR="006F4912" w:rsidRPr="006F4912" w:rsidRDefault="006F4912" w:rsidP="006F4912">
      <w:pPr>
        <w:shd w:val="clear" w:color="auto" w:fill="FFFFFF"/>
        <w:spacing w:after="0"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razvoj virtualne i kombinirane mobilnosti uspostavom online predavanja u suradnji s partnerskim institucijama te poticanjem hibridnih oblika nastavne i znanstvene suradnje.</w:t>
      </w:r>
    </w:p>
    <w:p w14:paraId="7C71F916" w14:textId="77777777" w:rsidR="006F4912" w:rsidRPr="006F4912" w:rsidRDefault="006F4912" w:rsidP="006F4912">
      <w:pPr>
        <w:spacing w:line="256" w:lineRule="auto"/>
        <w:jc w:val="both"/>
        <w:rPr>
          <w:rFonts w:ascii="Times New Roman" w:eastAsia="Calibri" w:hAnsi="Times New Roman" w:cs="Times New Roman"/>
          <w:sz w:val="24"/>
          <w:szCs w:val="24"/>
        </w:rPr>
      </w:pPr>
    </w:p>
    <w:p w14:paraId="3B6DBE33" w14:textId="77777777" w:rsidR="006F4912" w:rsidRPr="006F4912" w:rsidRDefault="006F4912" w:rsidP="006F4912">
      <w:pPr>
        <w:spacing w:line="256" w:lineRule="auto"/>
        <w:jc w:val="both"/>
        <w:rPr>
          <w:rFonts w:ascii="Times New Roman" w:eastAsia="Calibri" w:hAnsi="Times New Roman" w:cs="Times New Roman"/>
          <w:b/>
          <w:sz w:val="24"/>
          <w:szCs w:val="24"/>
        </w:rPr>
      </w:pPr>
      <w:r w:rsidRPr="006F4912">
        <w:rPr>
          <w:rFonts w:ascii="Times New Roman" w:eastAsia="Calibri" w:hAnsi="Times New Roman" w:cs="Times New Roman"/>
          <w:b/>
          <w:sz w:val="24"/>
          <w:szCs w:val="24"/>
        </w:rPr>
        <w:t>3.7. Usmjeravanje studijskih programa prema razvoju vještina koje jačaju konkurentnost na tržištu rada</w:t>
      </w:r>
    </w:p>
    <w:p w14:paraId="7C267215" w14:textId="77777777" w:rsidR="006F4912" w:rsidRPr="006F4912" w:rsidRDefault="006F4912" w:rsidP="006F4912">
      <w:pPr>
        <w:spacing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Ova je aktivnost usmjerena na kontinuirano unaprjeđenje kvalitete studijskih programa kako bi studenti tijekom studija stjecali znanja, vještine i kompetencije relevantne za suvremeno tržište rada, sukladno standardima AZVO, EAEVE-a i EQF-a. Naglasak je na osiguravanju njihove konkurentnosti kroz obrazovanje utemeljeno na aktualnim znanstvenim i stručnim dostignućima te usklađeno s nacionalnim i međunarodnim smjernicama za obrazovanje doktora veterinarske medicine.</w:t>
      </w:r>
    </w:p>
    <w:p w14:paraId="69F37B60" w14:textId="77777777" w:rsidR="006F4912" w:rsidRPr="006F4912" w:rsidRDefault="006F4912" w:rsidP="006F4912">
      <w:pPr>
        <w:spacing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U kontekstu najavljenih izmjena europskih direktiva koje reguliraju kvalifikacije u području veterinarske medicine, Fakultet proaktivno prilagođava studijske programe kako bi osigurao potpunu usklađenost sa zakonodavnim okvirom Europske unije, kao i s domaćim i europskim kvalifikacijskim standardima. Jedan od strateških prioriteta Fakulteta jest očuvanje nacionalne akreditacije (AZVO) i međunarodne akreditacije koju dodjeljuje Europsko udruženje ustanova za veterinarsko obrazovanje (EAEVE).</w:t>
      </w:r>
    </w:p>
    <w:p w14:paraId="3CD0F382" w14:textId="77777777" w:rsidR="006F4912" w:rsidRPr="006F4912" w:rsidRDefault="006F4912" w:rsidP="006F4912">
      <w:pPr>
        <w:spacing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U okviru aktivnosti planira se financirati:</w:t>
      </w:r>
    </w:p>
    <w:p w14:paraId="371A8FB4" w14:textId="77777777" w:rsidR="006F4912" w:rsidRPr="006F4912" w:rsidRDefault="006F4912" w:rsidP="006F4912">
      <w:pPr>
        <w:numPr>
          <w:ilvl w:val="0"/>
          <w:numId w:val="17"/>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Izrada i dorada dokumentacije za međunarodnu i nacionalnu akreditaciju, uključujući:</w:t>
      </w:r>
    </w:p>
    <w:p w14:paraId="1107BF31" w14:textId="77777777" w:rsidR="006F4912" w:rsidRPr="006F4912" w:rsidRDefault="006F4912" w:rsidP="006F4912">
      <w:pPr>
        <w:numPr>
          <w:ilvl w:val="1"/>
          <w:numId w:val="18"/>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izradu Standardnih operativnih postupaka (SOP),</w:t>
      </w:r>
    </w:p>
    <w:p w14:paraId="713E6342" w14:textId="77777777" w:rsidR="006F4912" w:rsidRPr="006F4912" w:rsidRDefault="006F4912" w:rsidP="006F4912">
      <w:pPr>
        <w:numPr>
          <w:ilvl w:val="1"/>
          <w:numId w:val="18"/>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pripremu međuizvješća (Interim Report) za EAEVE,</w:t>
      </w:r>
    </w:p>
    <w:p w14:paraId="0172DE7B" w14:textId="77777777" w:rsidR="006F4912" w:rsidRPr="006F4912" w:rsidRDefault="006F4912" w:rsidP="006F4912">
      <w:pPr>
        <w:numPr>
          <w:ilvl w:val="1"/>
          <w:numId w:val="18"/>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organizaciju posjeta vanjskih stručnih evaluacijskih timova,</w:t>
      </w:r>
    </w:p>
    <w:p w14:paraId="2ECDBFC5" w14:textId="77777777" w:rsidR="006F4912" w:rsidRPr="006F4912" w:rsidRDefault="006F4912" w:rsidP="006F4912">
      <w:pPr>
        <w:numPr>
          <w:ilvl w:val="1"/>
          <w:numId w:val="18"/>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xml:space="preserve">pokrivanje troškova naknada i putovanja vanjskih stručnjaka (u zemlji i inozemstvu) koji sudjeluju u postupcima vanjskog vrednovanja.                                                                                                                                      </w:t>
      </w:r>
    </w:p>
    <w:p w14:paraId="2642AD0E" w14:textId="77777777" w:rsidR="006F4912" w:rsidRPr="006F4912" w:rsidRDefault="006F4912" w:rsidP="006F4912">
      <w:pPr>
        <w:numPr>
          <w:ilvl w:val="0"/>
          <w:numId w:val="17"/>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Troškove jezične i vizualne obrade dokumentacije, uključujući:</w:t>
      </w:r>
    </w:p>
    <w:p w14:paraId="66F5B1CF" w14:textId="77777777" w:rsidR="006F4912" w:rsidRPr="006F4912" w:rsidRDefault="006F4912" w:rsidP="006F4912">
      <w:pPr>
        <w:numPr>
          <w:ilvl w:val="1"/>
          <w:numId w:val="19"/>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prijevod i lekturu samoanaliza te izvješća o vanjskim vrednovanjima koje izrađuju nastavnici članovi povjerenstava te međunarodni recenzenti na engleskom jeziku,</w:t>
      </w:r>
    </w:p>
    <w:p w14:paraId="7AB351D6" w14:textId="77777777" w:rsidR="006F4912" w:rsidRPr="006F4912" w:rsidRDefault="006F4912" w:rsidP="006F4912">
      <w:pPr>
        <w:numPr>
          <w:ilvl w:val="1"/>
          <w:numId w:val="19"/>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grafičko oblikovanje i tiskanje publikacija koje sadrže analize temeljene na provedenim vrednovanjima.</w:t>
      </w:r>
    </w:p>
    <w:p w14:paraId="4C577C06" w14:textId="77777777" w:rsidR="006F4912" w:rsidRPr="006F4912" w:rsidRDefault="006F4912" w:rsidP="006F4912">
      <w:pPr>
        <w:numPr>
          <w:ilvl w:val="0"/>
          <w:numId w:val="17"/>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Pripremu i ažuriranje ključnih dokumenata Fakulteta (na hrvatskom i engleskom jeziku), uključujući npr.:</w:t>
      </w:r>
    </w:p>
    <w:p w14:paraId="533DC0A1" w14:textId="77777777" w:rsidR="006F4912" w:rsidRPr="006F4912" w:rsidRDefault="006F4912" w:rsidP="006F4912">
      <w:pPr>
        <w:numPr>
          <w:ilvl w:val="0"/>
          <w:numId w:val="20"/>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ECTS katalog (Informacijski paket) / ECTS Course Catalogue</w:t>
      </w:r>
    </w:p>
    <w:p w14:paraId="0313C126" w14:textId="77777777" w:rsidR="006F4912" w:rsidRPr="006F4912" w:rsidRDefault="006F4912" w:rsidP="006F4912">
      <w:pPr>
        <w:numPr>
          <w:ilvl w:val="0"/>
          <w:numId w:val="20"/>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Nastavni plan i program / Curriculum and Syllabus</w:t>
      </w:r>
    </w:p>
    <w:p w14:paraId="27E58E6C" w14:textId="77777777" w:rsidR="006F4912" w:rsidRPr="006F4912" w:rsidRDefault="006F4912" w:rsidP="006F4912">
      <w:pPr>
        <w:numPr>
          <w:ilvl w:val="0"/>
          <w:numId w:val="20"/>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Ishodi učenja po kolegijima / Learning Outcomes by Course</w:t>
      </w:r>
    </w:p>
    <w:p w14:paraId="2C9580E2" w14:textId="77777777" w:rsidR="006F4912" w:rsidRPr="006F4912" w:rsidRDefault="006F4912" w:rsidP="006F4912">
      <w:pPr>
        <w:numPr>
          <w:ilvl w:val="0"/>
          <w:numId w:val="20"/>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Opći uvjeti studiranja / General Study Conditions</w:t>
      </w:r>
    </w:p>
    <w:p w14:paraId="7E7E18B1" w14:textId="77777777" w:rsidR="006F4912" w:rsidRPr="006F4912" w:rsidRDefault="006F4912" w:rsidP="006F4912">
      <w:pPr>
        <w:numPr>
          <w:ilvl w:val="0"/>
          <w:numId w:val="20"/>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Pravilnik o studiranju / Study Regulations</w:t>
      </w:r>
    </w:p>
    <w:p w14:paraId="46864027" w14:textId="77777777" w:rsidR="006F4912" w:rsidRPr="006F4912" w:rsidRDefault="006F4912" w:rsidP="006F4912">
      <w:pPr>
        <w:numPr>
          <w:ilvl w:val="0"/>
          <w:numId w:val="20"/>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Vodič za brucoše / Freshman Guide</w:t>
      </w:r>
    </w:p>
    <w:p w14:paraId="2757E9C4" w14:textId="77777777" w:rsidR="006F4912" w:rsidRPr="006F4912" w:rsidRDefault="006F4912" w:rsidP="006F4912">
      <w:pPr>
        <w:numPr>
          <w:ilvl w:val="0"/>
          <w:numId w:val="20"/>
        </w:numPr>
        <w:spacing w:after="0" w:line="256" w:lineRule="auto"/>
        <w:contextualSpacing/>
        <w:jc w:val="both"/>
        <w:rPr>
          <w:rFonts w:ascii="Times New Roman" w:eastAsia="Calibri" w:hAnsi="Times New Roman" w:cs="Times New Roman"/>
          <w:b/>
          <w:shd w:val="clear" w:color="auto" w:fill="E7E6E6"/>
        </w:rPr>
      </w:pPr>
      <w:r w:rsidRPr="006F4912">
        <w:rPr>
          <w:rFonts w:ascii="Times New Roman" w:eastAsia="Times New Roman" w:hAnsi="Times New Roman" w:cs="Times New Roman"/>
          <w:sz w:val="24"/>
          <w:szCs w:val="24"/>
        </w:rPr>
        <w:t>Upute za studente i stručne mentore / Guidelines for Students and Professional Mentors.</w:t>
      </w:r>
    </w:p>
    <w:p w14:paraId="72AFD69F" w14:textId="77777777" w:rsidR="006F4912" w:rsidRPr="006F4912" w:rsidRDefault="006F4912" w:rsidP="006F4912">
      <w:pPr>
        <w:spacing w:line="256" w:lineRule="auto"/>
        <w:jc w:val="both"/>
        <w:rPr>
          <w:rFonts w:ascii="Times New Roman" w:eastAsia="Calibri" w:hAnsi="Times New Roman" w:cs="Times New Roman"/>
        </w:rPr>
      </w:pPr>
    </w:p>
    <w:tbl>
      <w:tblPr>
        <w:tblW w:w="9683" w:type="dxa"/>
        <w:tblInd w:w="93" w:type="dxa"/>
        <w:tblLayout w:type="fixed"/>
        <w:tblLook w:val="00A0" w:firstRow="1" w:lastRow="0" w:firstColumn="1" w:lastColumn="0" w:noHBand="0" w:noVBand="0"/>
      </w:tblPr>
      <w:tblGrid>
        <w:gridCol w:w="1603"/>
        <w:gridCol w:w="1560"/>
        <w:gridCol w:w="850"/>
        <w:gridCol w:w="1134"/>
        <w:gridCol w:w="1276"/>
        <w:gridCol w:w="1134"/>
        <w:gridCol w:w="1105"/>
        <w:gridCol w:w="1021"/>
      </w:tblGrid>
      <w:tr w:rsidR="006F4912" w:rsidRPr="006F4912" w14:paraId="3F12D739" w14:textId="77777777" w:rsidTr="00AC358B">
        <w:trPr>
          <w:trHeight w:val="691"/>
        </w:trPr>
        <w:tc>
          <w:tcPr>
            <w:tcW w:w="160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EC98A78"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Pokazatelj</w:t>
            </w:r>
          </w:p>
          <w:p w14:paraId="74D20F68"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rezultata</w:t>
            </w:r>
          </w:p>
          <w:p w14:paraId="39A6059D"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p>
        </w:tc>
        <w:tc>
          <w:tcPr>
            <w:tcW w:w="1560" w:type="dxa"/>
            <w:tcBorders>
              <w:top w:val="single" w:sz="4" w:space="0" w:color="auto"/>
              <w:left w:val="nil"/>
              <w:bottom w:val="single" w:sz="4" w:space="0" w:color="auto"/>
              <w:right w:val="single" w:sz="4" w:space="0" w:color="auto"/>
            </w:tcBorders>
            <w:shd w:val="clear" w:color="auto" w:fill="D9D9D9"/>
            <w:vAlign w:val="center"/>
          </w:tcPr>
          <w:p w14:paraId="31322331"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Definicija</w:t>
            </w:r>
          </w:p>
        </w:tc>
        <w:tc>
          <w:tcPr>
            <w:tcW w:w="850" w:type="dxa"/>
            <w:tcBorders>
              <w:top w:val="single" w:sz="4" w:space="0" w:color="auto"/>
              <w:left w:val="nil"/>
              <w:bottom w:val="single" w:sz="4" w:space="0" w:color="auto"/>
              <w:right w:val="single" w:sz="4" w:space="0" w:color="auto"/>
            </w:tcBorders>
            <w:shd w:val="clear" w:color="auto" w:fill="D9D9D9"/>
            <w:vAlign w:val="center"/>
          </w:tcPr>
          <w:p w14:paraId="6B7CC964"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2D47032E"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Polazna vrijednost 2025.</w:t>
            </w:r>
          </w:p>
        </w:tc>
        <w:tc>
          <w:tcPr>
            <w:tcW w:w="1276" w:type="dxa"/>
            <w:tcBorders>
              <w:top w:val="single" w:sz="4" w:space="0" w:color="auto"/>
              <w:left w:val="nil"/>
              <w:bottom w:val="single" w:sz="4" w:space="0" w:color="auto"/>
              <w:right w:val="single" w:sz="4" w:space="0" w:color="auto"/>
            </w:tcBorders>
            <w:shd w:val="clear" w:color="auto" w:fill="D9D9D9"/>
            <w:vAlign w:val="center"/>
          </w:tcPr>
          <w:p w14:paraId="1851CD50"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153E2220"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Ciljana vrijednost 2026.</w:t>
            </w:r>
          </w:p>
        </w:tc>
        <w:tc>
          <w:tcPr>
            <w:tcW w:w="1105" w:type="dxa"/>
            <w:tcBorders>
              <w:top w:val="single" w:sz="4" w:space="0" w:color="auto"/>
              <w:left w:val="nil"/>
              <w:bottom w:val="single" w:sz="4" w:space="0" w:color="auto"/>
              <w:right w:val="single" w:sz="4" w:space="0" w:color="auto"/>
            </w:tcBorders>
            <w:shd w:val="clear" w:color="auto" w:fill="D9D9D9"/>
            <w:vAlign w:val="center"/>
          </w:tcPr>
          <w:p w14:paraId="0BAFD19D"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Ciljana vrijednost 2027.</w:t>
            </w:r>
          </w:p>
        </w:tc>
        <w:tc>
          <w:tcPr>
            <w:tcW w:w="1021" w:type="dxa"/>
            <w:tcBorders>
              <w:top w:val="single" w:sz="4" w:space="0" w:color="auto"/>
              <w:left w:val="nil"/>
              <w:bottom w:val="single" w:sz="4" w:space="0" w:color="auto"/>
              <w:right w:val="single" w:sz="4" w:space="0" w:color="auto"/>
            </w:tcBorders>
            <w:shd w:val="clear" w:color="auto" w:fill="D9D9D9"/>
            <w:vAlign w:val="center"/>
          </w:tcPr>
          <w:p w14:paraId="7309190C"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Ciljana vrijednost 2028.</w:t>
            </w:r>
          </w:p>
        </w:tc>
      </w:tr>
      <w:tr w:rsidR="006F4912" w:rsidRPr="006F4912" w14:paraId="73D2CAC6"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50D774E8"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Broj uvedenih inovativnih metoda</w:t>
            </w:r>
            <w:r w:rsidRPr="006F4912">
              <w:rPr>
                <w:rFonts w:ascii="Times New Roman" w:eastAsia="Calibri" w:hAnsi="Times New Roman" w:cs="Times New Roman"/>
                <w:b/>
              </w:rPr>
              <w:t xml:space="preserve">  </w:t>
            </w:r>
          </w:p>
        </w:tc>
        <w:tc>
          <w:tcPr>
            <w:tcW w:w="1560" w:type="dxa"/>
            <w:tcBorders>
              <w:top w:val="single" w:sz="4" w:space="0" w:color="auto"/>
              <w:left w:val="nil"/>
              <w:bottom w:val="single" w:sz="4" w:space="0" w:color="auto"/>
              <w:right w:val="single" w:sz="4" w:space="0" w:color="auto"/>
            </w:tcBorders>
            <w:noWrap/>
            <w:vAlign w:val="center"/>
          </w:tcPr>
          <w:p w14:paraId="74ACC1E5" w14:textId="77777777" w:rsidR="006F4912" w:rsidRPr="006F4912" w:rsidRDefault="006F4912" w:rsidP="006F4912">
            <w:pPr>
              <w:spacing w:line="256" w:lineRule="auto"/>
              <w:rPr>
                <w:rFonts w:ascii="Times New Roman" w:eastAsia="Calibri" w:hAnsi="Times New Roman" w:cs="Times New Roman"/>
              </w:rPr>
            </w:pPr>
            <w:r w:rsidRPr="006F4912">
              <w:rPr>
                <w:rFonts w:ascii="Times New Roman" w:eastAsia="Calibri" w:hAnsi="Times New Roman" w:cs="Times New Roman"/>
              </w:rPr>
              <w:t>Internacionalizacija doktorskog studija</w:t>
            </w:r>
          </w:p>
          <w:p w14:paraId="22975153" w14:textId="77777777" w:rsidR="006F4912" w:rsidRPr="006F4912" w:rsidRDefault="006F4912" w:rsidP="006F4912">
            <w:pPr>
              <w:spacing w:after="0" w:line="240" w:lineRule="auto"/>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noWrap/>
            <w:vAlign w:val="center"/>
          </w:tcPr>
          <w:p w14:paraId="22179C9E"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7EE02D77"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w:t>
            </w:r>
          </w:p>
        </w:tc>
        <w:tc>
          <w:tcPr>
            <w:tcW w:w="1276" w:type="dxa"/>
            <w:tcBorders>
              <w:top w:val="single" w:sz="4" w:space="0" w:color="auto"/>
              <w:left w:val="nil"/>
              <w:bottom w:val="single" w:sz="4" w:space="0" w:color="auto"/>
              <w:right w:val="single" w:sz="4" w:space="0" w:color="auto"/>
            </w:tcBorders>
            <w:noWrap/>
            <w:vAlign w:val="center"/>
          </w:tcPr>
          <w:p w14:paraId="793D26C9"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 za znanost, poslijedipl.studije i međ. suradnju</w:t>
            </w:r>
          </w:p>
        </w:tc>
        <w:tc>
          <w:tcPr>
            <w:tcW w:w="1134" w:type="dxa"/>
            <w:tcBorders>
              <w:top w:val="single" w:sz="4" w:space="0" w:color="auto"/>
              <w:left w:val="nil"/>
              <w:bottom w:val="single" w:sz="4" w:space="0" w:color="auto"/>
              <w:right w:val="single" w:sz="4" w:space="0" w:color="auto"/>
            </w:tcBorders>
            <w:noWrap/>
            <w:vAlign w:val="center"/>
          </w:tcPr>
          <w:p w14:paraId="3A05F743"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w:t>
            </w:r>
          </w:p>
        </w:tc>
        <w:tc>
          <w:tcPr>
            <w:tcW w:w="1105" w:type="dxa"/>
            <w:tcBorders>
              <w:top w:val="single" w:sz="4" w:space="0" w:color="auto"/>
              <w:left w:val="nil"/>
              <w:bottom w:val="single" w:sz="4" w:space="0" w:color="auto"/>
              <w:right w:val="single" w:sz="4" w:space="0" w:color="auto"/>
            </w:tcBorders>
            <w:noWrap/>
            <w:vAlign w:val="center"/>
          </w:tcPr>
          <w:p w14:paraId="11EBA421"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w:t>
            </w:r>
          </w:p>
        </w:tc>
        <w:tc>
          <w:tcPr>
            <w:tcW w:w="1021" w:type="dxa"/>
            <w:tcBorders>
              <w:top w:val="single" w:sz="4" w:space="0" w:color="auto"/>
              <w:left w:val="nil"/>
              <w:bottom w:val="single" w:sz="4" w:space="0" w:color="auto"/>
              <w:right w:val="single" w:sz="4" w:space="0" w:color="auto"/>
            </w:tcBorders>
            <w:noWrap/>
            <w:vAlign w:val="center"/>
          </w:tcPr>
          <w:p w14:paraId="180430DA"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w:t>
            </w:r>
          </w:p>
        </w:tc>
      </w:tr>
      <w:tr w:rsidR="006F4912" w:rsidRPr="006F4912" w14:paraId="5DB5EFF0"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78B9F4E1"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Broj uvedenih inovativnih metoda</w:t>
            </w:r>
            <w:r w:rsidRPr="006F4912">
              <w:rPr>
                <w:rFonts w:ascii="Times New Roman" w:eastAsia="Calibri" w:hAnsi="Times New Roman" w:cs="Times New Roman"/>
                <w:b/>
              </w:rPr>
              <w:t xml:space="preserve">  </w:t>
            </w:r>
          </w:p>
        </w:tc>
        <w:tc>
          <w:tcPr>
            <w:tcW w:w="1560" w:type="dxa"/>
            <w:tcBorders>
              <w:top w:val="single" w:sz="4" w:space="0" w:color="auto"/>
              <w:left w:val="nil"/>
              <w:bottom w:val="single" w:sz="4" w:space="0" w:color="auto"/>
              <w:right w:val="single" w:sz="4" w:space="0" w:color="auto"/>
            </w:tcBorders>
            <w:noWrap/>
            <w:vAlign w:val="center"/>
          </w:tcPr>
          <w:p w14:paraId="10F44BC2"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 xml:space="preserve">Unaprijeđenje pedagoškog okvira uvođenjem suvremenih metoda i tehnologija </w:t>
            </w:r>
          </w:p>
        </w:tc>
        <w:tc>
          <w:tcPr>
            <w:tcW w:w="850" w:type="dxa"/>
            <w:tcBorders>
              <w:top w:val="single" w:sz="4" w:space="0" w:color="auto"/>
              <w:left w:val="nil"/>
              <w:bottom w:val="single" w:sz="4" w:space="0" w:color="auto"/>
              <w:right w:val="single" w:sz="4" w:space="0" w:color="auto"/>
            </w:tcBorders>
            <w:noWrap/>
            <w:vAlign w:val="center"/>
          </w:tcPr>
          <w:p w14:paraId="070B1A3C"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Iznos</w:t>
            </w:r>
          </w:p>
        </w:tc>
        <w:tc>
          <w:tcPr>
            <w:tcW w:w="1134" w:type="dxa"/>
            <w:tcBorders>
              <w:top w:val="single" w:sz="4" w:space="0" w:color="auto"/>
              <w:left w:val="nil"/>
              <w:bottom w:val="single" w:sz="4" w:space="0" w:color="auto"/>
              <w:right w:val="single" w:sz="4" w:space="0" w:color="auto"/>
            </w:tcBorders>
            <w:noWrap/>
            <w:vAlign w:val="center"/>
          </w:tcPr>
          <w:p w14:paraId="4FFA3195"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2</w:t>
            </w:r>
          </w:p>
        </w:tc>
        <w:tc>
          <w:tcPr>
            <w:tcW w:w="1276" w:type="dxa"/>
            <w:tcBorders>
              <w:top w:val="single" w:sz="4" w:space="0" w:color="auto"/>
              <w:left w:val="nil"/>
              <w:bottom w:val="single" w:sz="4" w:space="0" w:color="auto"/>
              <w:right w:val="single" w:sz="4" w:space="0" w:color="auto"/>
            </w:tcBorders>
            <w:noWrap/>
            <w:vAlign w:val="center"/>
          </w:tcPr>
          <w:p w14:paraId="4C4D0D66"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Prodekani za integrirani studij i studente</w:t>
            </w:r>
          </w:p>
        </w:tc>
        <w:tc>
          <w:tcPr>
            <w:tcW w:w="1134" w:type="dxa"/>
            <w:tcBorders>
              <w:top w:val="single" w:sz="4" w:space="0" w:color="auto"/>
              <w:left w:val="nil"/>
              <w:bottom w:val="single" w:sz="4" w:space="0" w:color="auto"/>
              <w:right w:val="single" w:sz="4" w:space="0" w:color="auto"/>
            </w:tcBorders>
            <w:noWrap/>
            <w:vAlign w:val="center"/>
          </w:tcPr>
          <w:p w14:paraId="4307EDF4"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2</w:t>
            </w:r>
          </w:p>
        </w:tc>
        <w:tc>
          <w:tcPr>
            <w:tcW w:w="1105" w:type="dxa"/>
            <w:tcBorders>
              <w:top w:val="single" w:sz="4" w:space="0" w:color="auto"/>
              <w:left w:val="nil"/>
              <w:bottom w:val="single" w:sz="4" w:space="0" w:color="auto"/>
              <w:right w:val="single" w:sz="4" w:space="0" w:color="auto"/>
            </w:tcBorders>
            <w:noWrap/>
            <w:vAlign w:val="center"/>
          </w:tcPr>
          <w:p w14:paraId="224072B3"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w:t>
            </w:r>
          </w:p>
        </w:tc>
        <w:tc>
          <w:tcPr>
            <w:tcW w:w="1021" w:type="dxa"/>
            <w:tcBorders>
              <w:top w:val="single" w:sz="4" w:space="0" w:color="auto"/>
              <w:left w:val="nil"/>
              <w:bottom w:val="single" w:sz="4" w:space="0" w:color="auto"/>
              <w:right w:val="single" w:sz="4" w:space="0" w:color="auto"/>
            </w:tcBorders>
            <w:noWrap/>
            <w:vAlign w:val="center"/>
          </w:tcPr>
          <w:p w14:paraId="1D7CF454"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4</w:t>
            </w:r>
          </w:p>
        </w:tc>
      </w:tr>
      <w:tr w:rsidR="006F4912" w:rsidRPr="006F4912" w14:paraId="70CBA3DF"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27C2B796"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Broj uvedenih inovativnih metoda</w:t>
            </w:r>
            <w:r w:rsidRPr="006F4912">
              <w:rPr>
                <w:rFonts w:ascii="Times New Roman" w:eastAsia="Calibri" w:hAnsi="Times New Roman" w:cs="Times New Roman"/>
                <w:b/>
              </w:rPr>
              <w:t xml:space="preserve">  </w:t>
            </w:r>
          </w:p>
        </w:tc>
        <w:tc>
          <w:tcPr>
            <w:tcW w:w="1560" w:type="dxa"/>
            <w:tcBorders>
              <w:top w:val="single" w:sz="4" w:space="0" w:color="auto"/>
              <w:left w:val="nil"/>
              <w:bottom w:val="single" w:sz="4" w:space="0" w:color="auto"/>
              <w:right w:val="single" w:sz="4" w:space="0" w:color="auto"/>
            </w:tcBorders>
            <w:noWrap/>
            <w:vAlign w:val="center"/>
          </w:tcPr>
          <w:p w14:paraId="7409B075"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 xml:space="preserve">Jačanje kapaciteta digitalnih slikovno dijagnostičkih metoda </w:t>
            </w:r>
          </w:p>
        </w:tc>
        <w:tc>
          <w:tcPr>
            <w:tcW w:w="850" w:type="dxa"/>
            <w:tcBorders>
              <w:top w:val="single" w:sz="4" w:space="0" w:color="auto"/>
              <w:left w:val="nil"/>
              <w:bottom w:val="single" w:sz="4" w:space="0" w:color="auto"/>
              <w:right w:val="single" w:sz="4" w:space="0" w:color="auto"/>
            </w:tcBorders>
            <w:noWrap/>
            <w:vAlign w:val="center"/>
          </w:tcPr>
          <w:p w14:paraId="32C376D6"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0FB2ACD0"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0</w:t>
            </w:r>
          </w:p>
        </w:tc>
        <w:tc>
          <w:tcPr>
            <w:tcW w:w="1276" w:type="dxa"/>
            <w:tcBorders>
              <w:top w:val="single" w:sz="4" w:space="0" w:color="auto"/>
              <w:left w:val="nil"/>
              <w:bottom w:val="single" w:sz="4" w:space="0" w:color="auto"/>
              <w:right w:val="single" w:sz="4" w:space="0" w:color="auto"/>
            </w:tcBorders>
            <w:noWrap/>
            <w:vAlign w:val="center"/>
          </w:tcPr>
          <w:p w14:paraId="549C5C76"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 xml:space="preserve">Prodekani za integrirani studij i studente </w:t>
            </w:r>
          </w:p>
        </w:tc>
        <w:tc>
          <w:tcPr>
            <w:tcW w:w="1134" w:type="dxa"/>
            <w:tcBorders>
              <w:top w:val="single" w:sz="4" w:space="0" w:color="auto"/>
              <w:left w:val="nil"/>
              <w:bottom w:val="single" w:sz="4" w:space="0" w:color="auto"/>
              <w:right w:val="single" w:sz="4" w:space="0" w:color="auto"/>
            </w:tcBorders>
            <w:noWrap/>
            <w:vAlign w:val="center"/>
          </w:tcPr>
          <w:p w14:paraId="0D93FDDA"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w:t>
            </w:r>
          </w:p>
        </w:tc>
        <w:tc>
          <w:tcPr>
            <w:tcW w:w="1105" w:type="dxa"/>
            <w:tcBorders>
              <w:top w:val="single" w:sz="4" w:space="0" w:color="auto"/>
              <w:left w:val="nil"/>
              <w:bottom w:val="single" w:sz="4" w:space="0" w:color="auto"/>
              <w:right w:val="single" w:sz="4" w:space="0" w:color="auto"/>
            </w:tcBorders>
            <w:noWrap/>
            <w:vAlign w:val="center"/>
          </w:tcPr>
          <w:p w14:paraId="017E45A7"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w:t>
            </w:r>
          </w:p>
        </w:tc>
        <w:tc>
          <w:tcPr>
            <w:tcW w:w="1021" w:type="dxa"/>
            <w:tcBorders>
              <w:top w:val="single" w:sz="4" w:space="0" w:color="auto"/>
              <w:left w:val="nil"/>
              <w:bottom w:val="single" w:sz="4" w:space="0" w:color="auto"/>
              <w:right w:val="single" w:sz="4" w:space="0" w:color="auto"/>
            </w:tcBorders>
            <w:noWrap/>
            <w:vAlign w:val="center"/>
          </w:tcPr>
          <w:p w14:paraId="6442C6A5"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2</w:t>
            </w:r>
          </w:p>
        </w:tc>
      </w:tr>
      <w:tr w:rsidR="006F4912" w:rsidRPr="006F4912" w14:paraId="6970908E"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4F5A97F3"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Broj nastavnika koji su sudjelovali u obrazovnim programima jačanja nastavničkih kompetencija</w:t>
            </w:r>
          </w:p>
        </w:tc>
        <w:tc>
          <w:tcPr>
            <w:tcW w:w="1560" w:type="dxa"/>
            <w:tcBorders>
              <w:top w:val="single" w:sz="4" w:space="0" w:color="auto"/>
              <w:left w:val="nil"/>
              <w:bottom w:val="single" w:sz="4" w:space="0" w:color="auto"/>
              <w:right w:val="single" w:sz="4" w:space="0" w:color="auto"/>
            </w:tcBorders>
            <w:noWrap/>
            <w:vAlign w:val="center"/>
          </w:tcPr>
          <w:p w14:paraId="61841B85"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Unaprijeđenje nastavničkih kompetencija</w:t>
            </w:r>
          </w:p>
        </w:tc>
        <w:tc>
          <w:tcPr>
            <w:tcW w:w="850" w:type="dxa"/>
            <w:tcBorders>
              <w:top w:val="single" w:sz="4" w:space="0" w:color="auto"/>
              <w:left w:val="nil"/>
              <w:bottom w:val="single" w:sz="4" w:space="0" w:color="auto"/>
              <w:right w:val="single" w:sz="4" w:space="0" w:color="auto"/>
            </w:tcBorders>
            <w:noWrap/>
            <w:vAlign w:val="center"/>
          </w:tcPr>
          <w:p w14:paraId="242099C8"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11B846AE"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2</w:t>
            </w:r>
          </w:p>
        </w:tc>
        <w:tc>
          <w:tcPr>
            <w:tcW w:w="1276" w:type="dxa"/>
            <w:tcBorders>
              <w:top w:val="single" w:sz="4" w:space="0" w:color="auto"/>
              <w:left w:val="nil"/>
              <w:bottom w:val="single" w:sz="4" w:space="0" w:color="auto"/>
              <w:right w:val="single" w:sz="4" w:space="0" w:color="auto"/>
            </w:tcBorders>
            <w:noWrap/>
            <w:vAlign w:val="center"/>
          </w:tcPr>
          <w:p w14:paraId="657C3D74"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Prodekani za integrirani studij i studente</w:t>
            </w:r>
          </w:p>
        </w:tc>
        <w:tc>
          <w:tcPr>
            <w:tcW w:w="1134" w:type="dxa"/>
            <w:tcBorders>
              <w:top w:val="single" w:sz="4" w:space="0" w:color="auto"/>
              <w:left w:val="nil"/>
              <w:bottom w:val="single" w:sz="4" w:space="0" w:color="auto"/>
              <w:right w:val="single" w:sz="4" w:space="0" w:color="auto"/>
            </w:tcBorders>
            <w:noWrap/>
            <w:vAlign w:val="center"/>
          </w:tcPr>
          <w:p w14:paraId="6A4E667A"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w:t>
            </w:r>
          </w:p>
        </w:tc>
        <w:tc>
          <w:tcPr>
            <w:tcW w:w="1105" w:type="dxa"/>
            <w:tcBorders>
              <w:top w:val="single" w:sz="4" w:space="0" w:color="auto"/>
              <w:left w:val="nil"/>
              <w:bottom w:val="single" w:sz="4" w:space="0" w:color="auto"/>
              <w:right w:val="single" w:sz="4" w:space="0" w:color="auto"/>
            </w:tcBorders>
            <w:noWrap/>
            <w:vAlign w:val="center"/>
          </w:tcPr>
          <w:p w14:paraId="5CBE4044"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4</w:t>
            </w:r>
          </w:p>
        </w:tc>
        <w:tc>
          <w:tcPr>
            <w:tcW w:w="1021" w:type="dxa"/>
            <w:tcBorders>
              <w:top w:val="single" w:sz="4" w:space="0" w:color="auto"/>
              <w:left w:val="nil"/>
              <w:bottom w:val="single" w:sz="4" w:space="0" w:color="auto"/>
              <w:right w:val="single" w:sz="4" w:space="0" w:color="auto"/>
            </w:tcBorders>
            <w:noWrap/>
            <w:vAlign w:val="center"/>
          </w:tcPr>
          <w:p w14:paraId="09B46AC4"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6</w:t>
            </w:r>
          </w:p>
        </w:tc>
      </w:tr>
      <w:tr w:rsidR="006F4912" w:rsidRPr="006F4912" w14:paraId="721F4F7D"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1E669000"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Broj studenata koji su ostvarili najmanje 5 ECTS na studenskoj praksi</w:t>
            </w:r>
          </w:p>
        </w:tc>
        <w:tc>
          <w:tcPr>
            <w:tcW w:w="1560" w:type="dxa"/>
            <w:tcBorders>
              <w:top w:val="single" w:sz="4" w:space="0" w:color="auto"/>
              <w:left w:val="nil"/>
              <w:bottom w:val="single" w:sz="4" w:space="0" w:color="auto"/>
              <w:right w:val="single" w:sz="4" w:space="0" w:color="auto"/>
            </w:tcBorders>
            <w:noWrap/>
            <w:vAlign w:val="center"/>
          </w:tcPr>
          <w:p w14:paraId="5FAEFF81"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Stjecanje praktičnih kompetencija studenata</w:t>
            </w:r>
          </w:p>
        </w:tc>
        <w:tc>
          <w:tcPr>
            <w:tcW w:w="850" w:type="dxa"/>
            <w:tcBorders>
              <w:top w:val="single" w:sz="4" w:space="0" w:color="auto"/>
              <w:left w:val="nil"/>
              <w:bottom w:val="single" w:sz="4" w:space="0" w:color="auto"/>
              <w:right w:val="single" w:sz="4" w:space="0" w:color="auto"/>
            </w:tcBorders>
            <w:noWrap/>
            <w:vAlign w:val="center"/>
          </w:tcPr>
          <w:p w14:paraId="578CD7D8"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51416D75"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92</w:t>
            </w:r>
          </w:p>
        </w:tc>
        <w:tc>
          <w:tcPr>
            <w:tcW w:w="1276" w:type="dxa"/>
            <w:tcBorders>
              <w:top w:val="single" w:sz="4" w:space="0" w:color="auto"/>
              <w:left w:val="nil"/>
              <w:bottom w:val="single" w:sz="4" w:space="0" w:color="auto"/>
              <w:right w:val="single" w:sz="4" w:space="0" w:color="auto"/>
            </w:tcBorders>
            <w:noWrap/>
            <w:vAlign w:val="center"/>
          </w:tcPr>
          <w:p w14:paraId="5611023C"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Prodekani za integrirani studij i studente</w:t>
            </w:r>
          </w:p>
        </w:tc>
        <w:tc>
          <w:tcPr>
            <w:tcW w:w="1134" w:type="dxa"/>
            <w:tcBorders>
              <w:top w:val="single" w:sz="4" w:space="0" w:color="auto"/>
              <w:left w:val="nil"/>
              <w:bottom w:val="single" w:sz="4" w:space="0" w:color="auto"/>
              <w:right w:val="single" w:sz="4" w:space="0" w:color="auto"/>
            </w:tcBorders>
            <w:noWrap/>
            <w:vAlign w:val="center"/>
          </w:tcPr>
          <w:p w14:paraId="658FA4BE"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89</w:t>
            </w:r>
          </w:p>
        </w:tc>
        <w:tc>
          <w:tcPr>
            <w:tcW w:w="1105" w:type="dxa"/>
            <w:tcBorders>
              <w:top w:val="single" w:sz="4" w:space="0" w:color="auto"/>
              <w:left w:val="nil"/>
              <w:bottom w:val="single" w:sz="4" w:space="0" w:color="auto"/>
              <w:right w:val="single" w:sz="4" w:space="0" w:color="auto"/>
            </w:tcBorders>
            <w:noWrap/>
            <w:vAlign w:val="center"/>
          </w:tcPr>
          <w:p w14:paraId="52AFEAE8"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88</w:t>
            </w:r>
          </w:p>
        </w:tc>
        <w:tc>
          <w:tcPr>
            <w:tcW w:w="1021" w:type="dxa"/>
            <w:tcBorders>
              <w:top w:val="single" w:sz="4" w:space="0" w:color="auto"/>
              <w:left w:val="nil"/>
              <w:bottom w:val="single" w:sz="4" w:space="0" w:color="auto"/>
              <w:right w:val="single" w:sz="4" w:space="0" w:color="auto"/>
            </w:tcBorders>
            <w:noWrap/>
            <w:vAlign w:val="center"/>
          </w:tcPr>
          <w:p w14:paraId="41D3B6F9"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85</w:t>
            </w:r>
          </w:p>
        </w:tc>
      </w:tr>
      <w:tr w:rsidR="006F4912" w:rsidRPr="006F4912" w14:paraId="02334233"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363950DE" w14:textId="77777777" w:rsidR="006F4912" w:rsidRPr="006F4912" w:rsidRDefault="006F4912" w:rsidP="006F4912">
            <w:pPr>
              <w:spacing w:line="256" w:lineRule="auto"/>
              <w:jc w:val="both"/>
              <w:rPr>
                <w:rFonts w:ascii="Times New Roman" w:eastAsia="Calibri" w:hAnsi="Times New Roman" w:cs="Times New Roman"/>
              </w:rPr>
            </w:pPr>
            <w:r w:rsidRPr="006F4912">
              <w:rPr>
                <w:rFonts w:ascii="Times New Roman" w:eastAsia="Calibri" w:hAnsi="Times New Roman" w:cs="Times New Roman"/>
              </w:rPr>
              <w:t>Broj nastavnika koji sudjeluju u međunarodnoj razmjeni</w:t>
            </w:r>
          </w:p>
          <w:p w14:paraId="4FE02233" w14:textId="77777777" w:rsidR="006F4912" w:rsidRPr="006F4912" w:rsidRDefault="006F4912" w:rsidP="006F4912">
            <w:pPr>
              <w:spacing w:after="0" w:line="240" w:lineRule="auto"/>
              <w:jc w:val="center"/>
              <w:rPr>
                <w:rFonts w:ascii="Times New Roman" w:eastAsia="Times New Roman" w:hAnsi="Times New Roman" w:cs="Times New Roman"/>
              </w:rPr>
            </w:pPr>
          </w:p>
        </w:tc>
        <w:tc>
          <w:tcPr>
            <w:tcW w:w="1560" w:type="dxa"/>
            <w:tcBorders>
              <w:top w:val="single" w:sz="4" w:space="0" w:color="auto"/>
              <w:left w:val="nil"/>
              <w:bottom w:val="single" w:sz="4" w:space="0" w:color="auto"/>
              <w:right w:val="single" w:sz="4" w:space="0" w:color="auto"/>
            </w:tcBorders>
            <w:shd w:val="clear" w:color="auto" w:fill="FFFFFF"/>
            <w:noWrap/>
            <w:vAlign w:val="center"/>
          </w:tcPr>
          <w:p w14:paraId="648CD84A" w14:textId="77777777" w:rsidR="006F4912" w:rsidRPr="006F4912" w:rsidRDefault="006F4912" w:rsidP="006F4912">
            <w:pPr>
              <w:spacing w:line="240" w:lineRule="auto"/>
              <w:rPr>
                <w:rFonts w:ascii="Times New Roman" w:eastAsia="Times New Roman" w:hAnsi="Times New Roman" w:cs="Times New Roman"/>
              </w:rPr>
            </w:pPr>
            <w:r w:rsidRPr="006F4912">
              <w:rPr>
                <w:rFonts w:ascii="Times New Roman" w:eastAsia="Calibri" w:hAnsi="Times New Roman" w:cs="Times New Roman"/>
              </w:rPr>
              <w:t>Povećanje međunarodne visokoobrazovne suradnje</w:t>
            </w:r>
          </w:p>
        </w:tc>
        <w:tc>
          <w:tcPr>
            <w:tcW w:w="850" w:type="dxa"/>
            <w:tcBorders>
              <w:top w:val="single" w:sz="4" w:space="0" w:color="auto"/>
              <w:left w:val="nil"/>
              <w:bottom w:val="single" w:sz="4" w:space="0" w:color="auto"/>
              <w:right w:val="single" w:sz="4" w:space="0" w:color="auto"/>
            </w:tcBorders>
            <w:noWrap/>
            <w:vAlign w:val="center"/>
          </w:tcPr>
          <w:p w14:paraId="0A527FF4"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1A036ACA"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0</w:t>
            </w:r>
          </w:p>
        </w:tc>
        <w:tc>
          <w:tcPr>
            <w:tcW w:w="1276" w:type="dxa"/>
            <w:tcBorders>
              <w:top w:val="single" w:sz="4" w:space="0" w:color="auto"/>
              <w:left w:val="nil"/>
              <w:bottom w:val="single" w:sz="4" w:space="0" w:color="auto"/>
              <w:right w:val="single" w:sz="4" w:space="0" w:color="auto"/>
            </w:tcBorders>
            <w:noWrap/>
            <w:vAlign w:val="center"/>
          </w:tcPr>
          <w:p w14:paraId="1024953D"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Prodekani za integrirani studij i studente</w:t>
            </w:r>
          </w:p>
        </w:tc>
        <w:tc>
          <w:tcPr>
            <w:tcW w:w="1134" w:type="dxa"/>
            <w:tcBorders>
              <w:top w:val="single" w:sz="4" w:space="0" w:color="auto"/>
              <w:left w:val="nil"/>
              <w:bottom w:val="single" w:sz="4" w:space="0" w:color="auto"/>
              <w:right w:val="single" w:sz="4" w:space="0" w:color="auto"/>
            </w:tcBorders>
            <w:noWrap/>
            <w:vAlign w:val="center"/>
          </w:tcPr>
          <w:p w14:paraId="667DEE12"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2</w:t>
            </w:r>
          </w:p>
        </w:tc>
        <w:tc>
          <w:tcPr>
            <w:tcW w:w="1105" w:type="dxa"/>
            <w:tcBorders>
              <w:top w:val="single" w:sz="4" w:space="0" w:color="auto"/>
              <w:left w:val="nil"/>
              <w:bottom w:val="single" w:sz="4" w:space="0" w:color="auto"/>
              <w:right w:val="single" w:sz="4" w:space="0" w:color="auto"/>
            </w:tcBorders>
            <w:noWrap/>
            <w:vAlign w:val="center"/>
          </w:tcPr>
          <w:p w14:paraId="08230920"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4</w:t>
            </w:r>
          </w:p>
        </w:tc>
        <w:tc>
          <w:tcPr>
            <w:tcW w:w="1021" w:type="dxa"/>
            <w:tcBorders>
              <w:top w:val="single" w:sz="4" w:space="0" w:color="auto"/>
              <w:left w:val="nil"/>
              <w:bottom w:val="single" w:sz="4" w:space="0" w:color="auto"/>
              <w:right w:val="single" w:sz="4" w:space="0" w:color="auto"/>
            </w:tcBorders>
            <w:noWrap/>
            <w:vAlign w:val="center"/>
          </w:tcPr>
          <w:p w14:paraId="4321C945"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6</w:t>
            </w:r>
          </w:p>
        </w:tc>
      </w:tr>
      <w:tr w:rsidR="006F4912" w:rsidRPr="006F4912" w14:paraId="5841E33B"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037F41BF"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Broj studijskih programa usklađenih s Hrvatskim kvalifikacijskim okvirom</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14:paraId="4409FE1A"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 xml:space="preserve">Usmjeravanje studijskih programa </w:t>
            </w:r>
          </w:p>
        </w:tc>
        <w:tc>
          <w:tcPr>
            <w:tcW w:w="850" w:type="dxa"/>
            <w:tcBorders>
              <w:top w:val="single" w:sz="4" w:space="0" w:color="auto"/>
              <w:left w:val="nil"/>
              <w:bottom w:val="single" w:sz="4" w:space="0" w:color="auto"/>
              <w:right w:val="single" w:sz="4" w:space="0" w:color="auto"/>
            </w:tcBorders>
            <w:noWrap/>
            <w:vAlign w:val="center"/>
          </w:tcPr>
          <w:p w14:paraId="4E660161"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3A4FBDE8"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w:t>
            </w:r>
          </w:p>
        </w:tc>
        <w:tc>
          <w:tcPr>
            <w:tcW w:w="1276" w:type="dxa"/>
            <w:tcBorders>
              <w:top w:val="single" w:sz="4" w:space="0" w:color="auto"/>
              <w:left w:val="nil"/>
              <w:bottom w:val="single" w:sz="4" w:space="0" w:color="auto"/>
              <w:right w:val="single" w:sz="4" w:space="0" w:color="auto"/>
            </w:tcBorders>
            <w:noWrap/>
            <w:vAlign w:val="center"/>
          </w:tcPr>
          <w:p w14:paraId="203534B1"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Prodekani za integrirani studij i studente</w:t>
            </w:r>
          </w:p>
        </w:tc>
        <w:tc>
          <w:tcPr>
            <w:tcW w:w="1134" w:type="dxa"/>
            <w:tcBorders>
              <w:top w:val="single" w:sz="4" w:space="0" w:color="auto"/>
              <w:left w:val="nil"/>
              <w:bottom w:val="single" w:sz="4" w:space="0" w:color="auto"/>
              <w:right w:val="single" w:sz="4" w:space="0" w:color="auto"/>
            </w:tcBorders>
            <w:noWrap/>
            <w:vAlign w:val="center"/>
          </w:tcPr>
          <w:p w14:paraId="343321C0"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w:t>
            </w:r>
          </w:p>
        </w:tc>
        <w:tc>
          <w:tcPr>
            <w:tcW w:w="1105" w:type="dxa"/>
            <w:tcBorders>
              <w:top w:val="single" w:sz="4" w:space="0" w:color="auto"/>
              <w:left w:val="nil"/>
              <w:bottom w:val="single" w:sz="4" w:space="0" w:color="auto"/>
              <w:right w:val="single" w:sz="4" w:space="0" w:color="auto"/>
            </w:tcBorders>
            <w:noWrap/>
            <w:vAlign w:val="center"/>
          </w:tcPr>
          <w:p w14:paraId="28A2861D"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w:t>
            </w:r>
          </w:p>
        </w:tc>
        <w:tc>
          <w:tcPr>
            <w:tcW w:w="1021" w:type="dxa"/>
            <w:tcBorders>
              <w:top w:val="single" w:sz="4" w:space="0" w:color="auto"/>
              <w:left w:val="nil"/>
              <w:bottom w:val="single" w:sz="4" w:space="0" w:color="auto"/>
              <w:right w:val="single" w:sz="4" w:space="0" w:color="auto"/>
            </w:tcBorders>
            <w:noWrap/>
            <w:vAlign w:val="center"/>
          </w:tcPr>
          <w:p w14:paraId="7DFFC552"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w:t>
            </w:r>
          </w:p>
        </w:tc>
      </w:tr>
    </w:tbl>
    <w:p w14:paraId="385D24EF" w14:textId="5C1C9803" w:rsidR="006F4912" w:rsidRPr="006F4912" w:rsidRDefault="006F4912" w:rsidP="006F4912">
      <w:pPr>
        <w:spacing w:line="256" w:lineRule="auto"/>
        <w:rPr>
          <w:rFonts w:ascii="Times New Roman" w:eastAsia="Calibri" w:hAnsi="Times New Roman" w:cs="Times New Roman"/>
          <w:b/>
          <w:sz w:val="24"/>
          <w:szCs w:val="24"/>
        </w:rPr>
      </w:pPr>
      <w:r w:rsidRPr="006F4912">
        <w:rPr>
          <w:rFonts w:ascii="Times New Roman" w:eastAsia="Calibri" w:hAnsi="Times New Roman" w:cs="Times New Roman"/>
          <w:b/>
          <w:sz w:val="24"/>
          <w:szCs w:val="24"/>
        </w:rPr>
        <w:t>CILJ 4: JAČANJE DRUŠTVENE ODGOVORNOSTI</w:t>
      </w:r>
      <w:r w:rsidRPr="006F4912">
        <w:rPr>
          <w:rFonts w:ascii="Aptos" w:eastAsia="Aptos" w:hAnsi="Aptos" w:cs="Times New Roman"/>
          <w:kern w:val="2"/>
          <w:sz w:val="24"/>
          <w:szCs w:val="24"/>
          <w14:ligatures w14:val="standardContextual"/>
        </w:rPr>
        <w:t xml:space="preserve"> (</w:t>
      </w:r>
      <w:r w:rsidRPr="006F4912">
        <w:rPr>
          <w:rFonts w:ascii="Times New Roman" w:eastAsia="Calibri" w:hAnsi="Times New Roman" w:cs="Times New Roman"/>
          <w:b/>
          <w:sz w:val="24"/>
          <w:szCs w:val="24"/>
        </w:rPr>
        <w:t>JAČANJE KULTURE CJELOŽIVOTNOG OBRAZOVANJA, JEDNAKOSTI I RAVNOPRAVNOSTI)</w:t>
      </w:r>
    </w:p>
    <w:p w14:paraId="685EB119" w14:textId="77777777" w:rsidR="006F4912" w:rsidRPr="006F4912" w:rsidRDefault="006F4912" w:rsidP="006F4912">
      <w:pPr>
        <w:spacing w:line="256" w:lineRule="auto"/>
        <w:jc w:val="both"/>
        <w:rPr>
          <w:rFonts w:ascii="Times New Roman" w:eastAsia="Calibri" w:hAnsi="Times New Roman" w:cs="Times New Roman"/>
          <w:b/>
          <w:bCs/>
          <w:sz w:val="24"/>
          <w:szCs w:val="24"/>
        </w:rPr>
      </w:pPr>
      <w:r w:rsidRPr="006F4912">
        <w:rPr>
          <w:rFonts w:ascii="Times New Roman" w:eastAsia="Calibri" w:hAnsi="Times New Roman" w:cs="Times New Roman"/>
          <w:b/>
          <w:bCs/>
          <w:sz w:val="24"/>
          <w:szCs w:val="24"/>
        </w:rPr>
        <w:t>4.1. Povećanje broja redovitih studenata iz ranjivih skupina u ukupnom broju redovnih studenata</w:t>
      </w:r>
    </w:p>
    <w:p w14:paraId="13BD08D7" w14:textId="77777777" w:rsidR="006F4912" w:rsidRPr="006F4912" w:rsidRDefault="006F4912" w:rsidP="006F4912">
      <w:pPr>
        <w:spacing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Kako bi fakultet postao prepoznatljivo i dostupno mjesto za pripadnike ranjivih skupina razvijat će se strategije aktivnog uključivanja u zajednice iz kojih dolaze takvi potencijalni studenti.</w:t>
      </w:r>
    </w:p>
    <w:p w14:paraId="5608E424" w14:textId="77777777" w:rsidR="006F4912" w:rsidRPr="006F4912" w:rsidRDefault="006F4912" w:rsidP="006F4912">
      <w:pPr>
        <w:numPr>
          <w:ilvl w:val="0"/>
          <w:numId w:val="21"/>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ciljane informativne i motivacijske kampanje, koje se provode u suradnji sa srednjim školama, udrugama, romskim savjetima, centrima za socijalnu skrb i organizacijama osoba s invaliditetom.</w:t>
      </w:r>
    </w:p>
    <w:p w14:paraId="2E251039" w14:textId="77777777" w:rsidR="006F4912" w:rsidRPr="006F4912" w:rsidRDefault="006F4912" w:rsidP="006F4912">
      <w:pPr>
        <w:numPr>
          <w:ilvl w:val="0"/>
          <w:numId w:val="21"/>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razviti program pripreme za upis pod nazivom „Most prema fakultetu“, koji uključuje besplatne online i kontakt radionice iz prirodoslovnih predmeta, savjetovanje i posjet fakultetu s osiguranim prijevozom.</w:t>
      </w:r>
    </w:p>
    <w:p w14:paraId="5EEC17B2" w14:textId="77777777" w:rsidR="006F4912" w:rsidRPr="006F4912" w:rsidRDefault="006F4912" w:rsidP="006F4912">
      <w:pPr>
        <w:numPr>
          <w:ilvl w:val="0"/>
          <w:numId w:val="21"/>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Podrška tijekom studija - Kako bi studenti iz ranjivih skupina imali jednake uvjete za uspješan završetak studija, fakultet će osiguravati sveobuhvatnu akademsku, psihosocijalnu i tehničku podršku.</w:t>
      </w:r>
    </w:p>
    <w:p w14:paraId="22560253" w14:textId="77777777" w:rsidR="006F4912" w:rsidRPr="006F4912" w:rsidRDefault="006F4912" w:rsidP="006F4912">
      <w:pPr>
        <w:numPr>
          <w:ilvl w:val="0"/>
          <w:numId w:val="21"/>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Suradnja s vanjskim institucijama i zajednicama u podršci ranjivim skupinama studenata</w:t>
      </w:r>
    </w:p>
    <w:p w14:paraId="58A3EAE4" w14:textId="77777777" w:rsidR="006F4912" w:rsidRPr="006F4912" w:rsidRDefault="006F4912" w:rsidP="006F4912">
      <w:pPr>
        <w:numPr>
          <w:ilvl w:val="0"/>
          <w:numId w:val="21"/>
        </w:numPr>
        <w:spacing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Troškovi se odnose na angažman vanjskih stručnjaka, putne troškove, troškove organizacije, edukacije izvan ustanove službi Fakulteta koje sudjeluju u programima podrške studentima, promocije propisanih aktivnosti u digitalnom obliku, tisak informativnih sadržaja.</w:t>
      </w:r>
    </w:p>
    <w:p w14:paraId="23770446" w14:textId="77777777" w:rsidR="006F4912" w:rsidRPr="006F4912" w:rsidRDefault="006F4912" w:rsidP="006F4912">
      <w:pPr>
        <w:spacing w:line="256" w:lineRule="auto"/>
        <w:jc w:val="both"/>
        <w:rPr>
          <w:rFonts w:ascii="Times New Roman" w:eastAsia="Calibri" w:hAnsi="Times New Roman" w:cs="Times New Roman"/>
          <w:b/>
          <w:sz w:val="24"/>
          <w:szCs w:val="24"/>
          <w:shd w:val="clear" w:color="auto" w:fill="E7E6E6"/>
        </w:rPr>
      </w:pPr>
    </w:p>
    <w:p w14:paraId="27EBA3EF" w14:textId="77777777" w:rsidR="006F4912" w:rsidRPr="006F4912" w:rsidRDefault="006F4912" w:rsidP="006F4912">
      <w:pPr>
        <w:spacing w:line="256" w:lineRule="auto"/>
        <w:jc w:val="both"/>
        <w:rPr>
          <w:rFonts w:ascii="Times New Roman" w:eastAsia="Calibri" w:hAnsi="Times New Roman" w:cs="Times New Roman"/>
          <w:b/>
          <w:bCs/>
          <w:sz w:val="24"/>
          <w:szCs w:val="24"/>
        </w:rPr>
      </w:pPr>
      <w:r w:rsidRPr="006F4912">
        <w:rPr>
          <w:rFonts w:ascii="Times New Roman" w:eastAsia="Calibri" w:hAnsi="Times New Roman" w:cs="Times New Roman"/>
          <w:b/>
          <w:bCs/>
          <w:sz w:val="24"/>
          <w:szCs w:val="24"/>
        </w:rPr>
        <w:t>4.2. Unaprjeđenje kulture jednakosti, ravnopravnosti i uključivosti u visokom obrazovanju</w:t>
      </w:r>
    </w:p>
    <w:p w14:paraId="15FCCBA3" w14:textId="77777777" w:rsidR="006F4912" w:rsidRPr="006F4912" w:rsidRDefault="006F4912" w:rsidP="006F4912">
      <w:pPr>
        <w:spacing w:line="256" w:lineRule="auto"/>
        <w:jc w:val="both"/>
        <w:rPr>
          <w:rFonts w:ascii="Times New Roman" w:eastAsia="Calibri" w:hAnsi="Times New Roman" w:cs="Times New Roman"/>
          <w:sz w:val="24"/>
          <w:szCs w:val="24"/>
          <w:shd w:val="clear" w:color="auto" w:fill="FFFFFF"/>
        </w:rPr>
      </w:pPr>
      <w:r w:rsidRPr="006F4912">
        <w:rPr>
          <w:rFonts w:ascii="Times New Roman" w:eastAsia="Calibri" w:hAnsi="Times New Roman" w:cs="Times New Roman"/>
          <w:sz w:val="24"/>
          <w:szCs w:val="24"/>
          <w:shd w:val="clear" w:color="auto" w:fill="FFFFFF"/>
        </w:rPr>
        <w:t>U cilju promicanja kulture jednakosti i ravnopravnosti planiramo provesti sljedeće aktivnosti: radionice i edukacije za studente i nastavno osoblje o temama uključivosti, diskriminacije i mentalnog zdravlja; radionice i predavanja na temu promicanja ravnopravnosti spolova; uspostava fonda pomoći za studente iz socijalno ugroženih skupina, manjinskih zajednica i studente s invaliditetom; mentorski programi u kojima studenti s više godina studija pomažu studentima iz ranjivih skupina u snalaženju na fakultetu; radionice o rodnoj ravnopravnosti, interkulturalnoj osjetljivosti i nenasilnoj komunikaciji; edukacije za prepoznavanje i sprječavanje diskriminacije u učionici i kampusu; redovito provođenje anketa i fokus grupa s ciljanom populacijom kako bi se identificirale barijere i potrebe; promocija primjera dobrih praksi unutar i izvan ustanove. Troškovi se odnose na angažman vanjskih stručnjaka, troškove  organizacije, promocije propisanih aktivnosti u digitalnom obliku, tisak informativnih sadržaja.</w:t>
      </w:r>
    </w:p>
    <w:p w14:paraId="1E1CEE74" w14:textId="77777777" w:rsidR="006F4912" w:rsidRPr="006F4912" w:rsidRDefault="006F4912" w:rsidP="006F4912">
      <w:pPr>
        <w:spacing w:line="256" w:lineRule="auto"/>
        <w:jc w:val="both"/>
        <w:rPr>
          <w:rFonts w:ascii="Times New Roman" w:eastAsia="Calibri" w:hAnsi="Times New Roman" w:cs="Times New Roman"/>
          <w:b/>
          <w:sz w:val="24"/>
          <w:szCs w:val="24"/>
        </w:rPr>
      </w:pPr>
      <w:r w:rsidRPr="006F4912">
        <w:rPr>
          <w:rFonts w:ascii="Times New Roman" w:eastAsia="Calibri" w:hAnsi="Times New Roman" w:cs="Times New Roman"/>
          <w:b/>
          <w:sz w:val="24"/>
          <w:szCs w:val="24"/>
        </w:rPr>
        <w:t xml:space="preserve">4.3. </w:t>
      </w:r>
      <w:r w:rsidRPr="006F4912">
        <w:rPr>
          <w:rFonts w:ascii="Times New Roman" w:eastAsia="Calibri" w:hAnsi="Times New Roman" w:cs="Times New Roman"/>
          <w:b/>
          <w:bCs/>
          <w:sz w:val="24"/>
          <w:szCs w:val="24"/>
        </w:rPr>
        <w:t>Digitalizacija poslovnih i organizacijskih procesa</w:t>
      </w:r>
    </w:p>
    <w:p w14:paraId="56F4A17F" w14:textId="77777777" w:rsidR="006F4912" w:rsidRPr="006F4912" w:rsidRDefault="006F4912" w:rsidP="006F4912">
      <w:pPr>
        <w:spacing w:line="256" w:lineRule="auto"/>
        <w:jc w:val="both"/>
        <w:rPr>
          <w:rFonts w:ascii="Times New Roman" w:eastAsia="Calibri" w:hAnsi="Times New Roman" w:cs="Times New Roman"/>
          <w:b/>
          <w:sz w:val="24"/>
          <w:szCs w:val="24"/>
        </w:rPr>
      </w:pPr>
      <w:r w:rsidRPr="006F4912">
        <w:rPr>
          <w:rFonts w:ascii="Times New Roman" w:eastAsia="Calibri" w:hAnsi="Times New Roman" w:cs="Times New Roman"/>
          <w:sz w:val="24"/>
          <w:szCs w:val="24"/>
          <w:shd w:val="clear" w:color="auto" w:fill="FFFFFF"/>
        </w:rPr>
        <w:t>Aktivnosti digitalizacije poslovnih i organizacijskih procesa uključuje potpuni prelazak na E- urudžbeni ured, razvoj i održavanje aplikacija: za digitalno upravljanje procesima nabave, vođenje projektanih prijava, korištenje znanstveno istraživačke opreme i službenih vozila, te implementaciju osuvremenjenog Amblulantnog protokola (baze pacijenata i uzoraka). U nastavnom procesu razvoj digitalnog funkcionalnog rasporeda nastave. Financiranje uključuje  razvoj i prlagodbu aplikacija, softverska riješenja i nabavu informatičke infrastrukture koja bi podržavala neometanu digitalizaciju.</w:t>
      </w:r>
    </w:p>
    <w:p w14:paraId="01E45850" w14:textId="77777777" w:rsidR="006F4912" w:rsidRPr="006F4912" w:rsidRDefault="006F4912" w:rsidP="006F4912">
      <w:pPr>
        <w:spacing w:line="256" w:lineRule="auto"/>
        <w:jc w:val="both"/>
        <w:rPr>
          <w:rFonts w:ascii="Times New Roman" w:eastAsia="Calibri" w:hAnsi="Times New Roman" w:cs="Times New Roman"/>
          <w:b/>
          <w:sz w:val="24"/>
          <w:szCs w:val="24"/>
        </w:rPr>
      </w:pPr>
      <w:r w:rsidRPr="006F4912">
        <w:rPr>
          <w:rFonts w:ascii="Times New Roman" w:eastAsia="Calibri" w:hAnsi="Times New Roman" w:cs="Times New Roman"/>
          <w:b/>
          <w:sz w:val="24"/>
          <w:szCs w:val="24"/>
        </w:rPr>
        <w:t>4.4. Jačanje zelene tranzicije</w:t>
      </w:r>
    </w:p>
    <w:p w14:paraId="301C9A01" w14:textId="77777777" w:rsidR="006F4912" w:rsidRPr="006F4912" w:rsidRDefault="006F4912" w:rsidP="006F4912">
      <w:pPr>
        <w:spacing w:line="256" w:lineRule="auto"/>
        <w:jc w:val="both"/>
        <w:rPr>
          <w:rFonts w:ascii="Times New Roman" w:eastAsia="Calibri" w:hAnsi="Times New Roman" w:cs="Times New Roman"/>
          <w:b/>
          <w:bCs/>
          <w:sz w:val="24"/>
          <w:szCs w:val="24"/>
        </w:rPr>
      </w:pPr>
      <w:r w:rsidRPr="006F4912">
        <w:rPr>
          <w:rFonts w:ascii="Times New Roman" w:eastAsia="Calibri" w:hAnsi="Times New Roman" w:cs="Times New Roman"/>
          <w:b/>
          <w:bCs/>
          <w:sz w:val="24"/>
          <w:szCs w:val="24"/>
        </w:rPr>
        <w:t>Poticanje projekata i investicija s ciljem podizanja energetske učinkovitosti</w:t>
      </w:r>
    </w:p>
    <w:p w14:paraId="544CE0E5" w14:textId="77777777" w:rsidR="006F4912" w:rsidRPr="006F4912" w:rsidRDefault="006F4912" w:rsidP="006F4912">
      <w:pPr>
        <w:spacing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 xml:space="preserve">Fakultet će poticati i unaprijeđivati “zeleno” upravljanje zgradama i resursima te provoditi kontinuiranu edukaciju nastavnika i ostalog osoblja za integraciju ESG (Environmental, Social, Governance) elemenata u nastavu. Planirano je postupno uvođenje LED rasvjete, senzora i pametnih sustava grijanja/hlađenja kao i uvođenje sustava digitalnog praćenja potrošnje energije i vode. Investiranje u ugradnju solarnih sustava na ciljanim mikrolokacijama. Postupna zamjena vozila voznog parka s električnim, hibridnim opcijama ili suvremenim ECO6 normama. Jedna od ciljeva je i postavljanje punionica za električna vozila. Uspostava cjelovitog sustava odvojenog prikupljanja otpada na svim lokacijama. Zelenu mobilnost bi se poticalo uz promicanje biciklističkog i javnog prijevoza kod zaposlenika i studenata. Osiguravanje i unapređivanje postojeće infrastrukture za bicikle i električne romobile. Zelena kultura i svijest poticala bi se uvođenjem edukacijskih kampanja za zaposlenike i studente. </w:t>
      </w:r>
    </w:p>
    <w:p w14:paraId="245C9B71" w14:textId="77777777" w:rsidR="006F4912" w:rsidRPr="006F4912" w:rsidRDefault="006F4912" w:rsidP="006F4912">
      <w:pPr>
        <w:spacing w:after="0"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Glavni ciljevi aktivnosti:</w:t>
      </w:r>
    </w:p>
    <w:p w14:paraId="0FC40742" w14:textId="77777777" w:rsidR="006F4912" w:rsidRPr="006F4912" w:rsidRDefault="006F4912" w:rsidP="006F4912">
      <w:pPr>
        <w:numPr>
          <w:ilvl w:val="0"/>
          <w:numId w:val="22"/>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smanjenje ugljičnog otiska Fakulteta</w:t>
      </w:r>
    </w:p>
    <w:p w14:paraId="6E573435" w14:textId="77777777" w:rsidR="006F4912" w:rsidRPr="006F4912" w:rsidRDefault="006F4912" w:rsidP="006F4912">
      <w:pPr>
        <w:numPr>
          <w:ilvl w:val="0"/>
          <w:numId w:val="22"/>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promicanje održivih praksi u veterinarskoj profesiji</w:t>
      </w:r>
    </w:p>
    <w:p w14:paraId="227ACF2A" w14:textId="77777777" w:rsidR="006F4912" w:rsidRPr="006F4912" w:rsidRDefault="006F4912" w:rsidP="006F4912">
      <w:pPr>
        <w:numPr>
          <w:ilvl w:val="0"/>
          <w:numId w:val="22"/>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uvođenje održivosti kao sastavnog dijela kurikuluma</w:t>
      </w:r>
    </w:p>
    <w:p w14:paraId="5C6A461D" w14:textId="77777777" w:rsidR="006F4912" w:rsidRPr="006F4912" w:rsidRDefault="006F4912" w:rsidP="006F4912">
      <w:pPr>
        <w:numPr>
          <w:ilvl w:val="0"/>
          <w:numId w:val="22"/>
        </w:numPr>
        <w:spacing w:after="0" w:line="256" w:lineRule="auto"/>
        <w:contextualSpacing/>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modernizacija infrastrukture i povećanje energetske učinkovitosti.</w:t>
      </w:r>
    </w:p>
    <w:p w14:paraId="7410A7CA" w14:textId="77777777" w:rsidR="006F4912" w:rsidRPr="006F4912" w:rsidRDefault="006F4912" w:rsidP="006F4912">
      <w:pPr>
        <w:spacing w:line="256" w:lineRule="auto"/>
        <w:jc w:val="both"/>
        <w:rPr>
          <w:rFonts w:ascii="Times New Roman" w:eastAsia="Times New Roman" w:hAnsi="Times New Roman" w:cs="Times New Roman"/>
          <w:sz w:val="24"/>
          <w:szCs w:val="24"/>
        </w:rPr>
      </w:pPr>
      <w:r w:rsidRPr="006F4912">
        <w:rPr>
          <w:rFonts w:ascii="Times New Roman" w:eastAsia="Times New Roman" w:hAnsi="Times New Roman" w:cs="Times New Roman"/>
          <w:sz w:val="24"/>
          <w:szCs w:val="24"/>
        </w:rPr>
        <w:t>Napredak će se pratiti kroz godišnja izvješća, mjesečne analize potrošnje resursa i anketiranje zaposlenika i studenata o razini svijesti i zadovoljstva. Zelena tranzicija nije jednokratna inicijativa već proces koji mijenja kulturu ustanove. Kroz strategiju održivosti, Veterinarski fakultet pozicionira se kao odgovorna, moderna institucija koja aktivno doprinosi ciljevima klimatske neutralnosti, javnog zdravstva i otpornosti društva.</w:t>
      </w:r>
    </w:p>
    <w:p w14:paraId="3E01E7BE" w14:textId="77777777" w:rsidR="006F4912" w:rsidRPr="006F4912" w:rsidRDefault="006F4912" w:rsidP="006F4912">
      <w:pPr>
        <w:spacing w:line="256" w:lineRule="auto"/>
        <w:jc w:val="both"/>
        <w:rPr>
          <w:rFonts w:ascii="Times New Roman" w:eastAsia="Calibri" w:hAnsi="Times New Roman" w:cs="Times New Roman"/>
          <w:b/>
          <w:sz w:val="24"/>
          <w:szCs w:val="24"/>
        </w:rPr>
      </w:pPr>
      <w:r w:rsidRPr="006F4912">
        <w:rPr>
          <w:rFonts w:ascii="Times New Roman" w:eastAsia="Calibri" w:hAnsi="Times New Roman" w:cs="Times New Roman"/>
          <w:b/>
          <w:sz w:val="24"/>
          <w:szCs w:val="24"/>
        </w:rPr>
        <w:t>4.5. Popularizacija znanosti i umjetnosti</w:t>
      </w:r>
    </w:p>
    <w:p w14:paraId="0D71416C" w14:textId="282D657C" w:rsidR="006F4912" w:rsidRDefault="006F4912" w:rsidP="006F4912">
      <w:pPr>
        <w:spacing w:line="256" w:lineRule="auto"/>
        <w:jc w:val="both"/>
        <w:rPr>
          <w:rFonts w:ascii="Times New Roman" w:eastAsia="Calibri" w:hAnsi="Times New Roman" w:cs="Times New Roman"/>
          <w:b/>
          <w:sz w:val="24"/>
          <w:szCs w:val="24"/>
        </w:rPr>
      </w:pPr>
      <w:r w:rsidRPr="006F4912">
        <w:rPr>
          <w:rFonts w:ascii="Times New Roman" w:eastAsia="Calibri" w:hAnsi="Times New Roman" w:cs="Times New Roman"/>
          <w:sz w:val="24"/>
          <w:szCs w:val="24"/>
          <w:shd w:val="clear" w:color="auto" w:fill="FFFFFF"/>
        </w:rPr>
        <w:t>U okviru aktivnosti ovog posebnog cilja financirat će se organizacija i promocija postojećih događanja i poticati nova događanja popularizacije znanosti. Od postojećih aktivnosti, unaprijediti će se organizacija i promocija edukativnih izložbi u suradnji sa studentima, ALUMNI udrugama i partnerskim institucijama, Dana otvorenih vrata fakulteta, Festivala znanosti, Dana karijera, tematskih radionica iz područja djelovanja zanimljivih javnosti. Cilj je uz popularizaciju znanosti promicati društvenu ulogu doktora veterinarske medicine. Kao mjesto popularizacije znanosti promovirati će se i virtualno okruženje. Financijski najveća investicija je ulaganje u virtualne šetnje znanstveno istraživačkim laboratorijima i klinikama u otvorenom pristupu, uz prilagodbu i modernizaciju digitalnih sadržaja web stranice fakulteta.</w:t>
      </w:r>
    </w:p>
    <w:p w14:paraId="0A31787E" w14:textId="77777777" w:rsidR="00607F29" w:rsidRPr="006F4912" w:rsidRDefault="00607F29" w:rsidP="006F4912">
      <w:pPr>
        <w:spacing w:line="256" w:lineRule="auto"/>
        <w:jc w:val="both"/>
        <w:rPr>
          <w:rFonts w:ascii="Times New Roman" w:eastAsia="Calibri" w:hAnsi="Times New Roman" w:cs="Times New Roman"/>
          <w:b/>
          <w:sz w:val="24"/>
          <w:szCs w:val="24"/>
        </w:rPr>
      </w:pPr>
    </w:p>
    <w:tbl>
      <w:tblPr>
        <w:tblW w:w="9683" w:type="dxa"/>
        <w:tblInd w:w="93" w:type="dxa"/>
        <w:tblLayout w:type="fixed"/>
        <w:tblLook w:val="00A0" w:firstRow="1" w:lastRow="0" w:firstColumn="1" w:lastColumn="0" w:noHBand="0" w:noVBand="0"/>
      </w:tblPr>
      <w:tblGrid>
        <w:gridCol w:w="1603"/>
        <w:gridCol w:w="1560"/>
        <w:gridCol w:w="850"/>
        <w:gridCol w:w="1134"/>
        <w:gridCol w:w="1276"/>
        <w:gridCol w:w="1134"/>
        <w:gridCol w:w="1105"/>
        <w:gridCol w:w="1021"/>
      </w:tblGrid>
      <w:tr w:rsidR="006F4912" w:rsidRPr="006F4912" w14:paraId="641AA010" w14:textId="77777777" w:rsidTr="00AC358B">
        <w:trPr>
          <w:trHeight w:val="691"/>
        </w:trPr>
        <w:tc>
          <w:tcPr>
            <w:tcW w:w="160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CE7907E"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Pokazatelj</w:t>
            </w:r>
          </w:p>
          <w:p w14:paraId="6A9F1DD1"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rezultata</w:t>
            </w:r>
          </w:p>
          <w:p w14:paraId="7547D847"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p>
        </w:tc>
        <w:tc>
          <w:tcPr>
            <w:tcW w:w="1560" w:type="dxa"/>
            <w:tcBorders>
              <w:top w:val="single" w:sz="4" w:space="0" w:color="auto"/>
              <w:left w:val="nil"/>
              <w:bottom w:val="single" w:sz="4" w:space="0" w:color="auto"/>
              <w:right w:val="single" w:sz="4" w:space="0" w:color="auto"/>
            </w:tcBorders>
            <w:shd w:val="clear" w:color="auto" w:fill="D9D9D9"/>
            <w:vAlign w:val="center"/>
          </w:tcPr>
          <w:p w14:paraId="60411793"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Definicija</w:t>
            </w:r>
          </w:p>
        </w:tc>
        <w:tc>
          <w:tcPr>
            <w:tcW w:w="850" w:type="dxa"/>
            <w:tcBorders>
              <w:top w:val="single" w:sz="4" w:space="0" w:color="auto"/>
              <w:left w:val="nil"/>
              <w:bottom w:val="single" w:sz="4" w:space="0" w:color="auto"/>
              <w:right w:val="single" w:sz="4" w:space="0" w:color="auto"/>
            </w:tcBorders>
            <w:shd w:val="clear" w:color="auto" w:fill="D9D9D9"/>
            <w:vAlign w:val="center"/>
          </w:tcPr>
          <w:p w14:paraId="3C323EF0"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6EA56389"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Polazna vrijednost 2025.</w:t>
            </w:r>
          </w:p>
        </w:tc>
        <w:tc>
          <w:tcPr>
            <w:tcW w:w="1276" w:type="dxa"/>
            <w:tcBorders>
              <w:top w:val="single" w:sz="4" w:space="0" w:color="auto"/>
              <w:left w:val="nil"/>
              <w:bottom w:val="single" w:sz="4" w:space="0" w:color="auto"/>
              <w:right w:val="single" w:sz="4" w:space="0" w:color="auto"/>
            </w:tcBorders>
            <w:shd w:val="clear" w:color="auto" w:fill="D9D9D9"/>
            <w:vAlign w:val="center"/>
          </w:tcPr>
          <w:p w14:paraId="59E8839E"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480E202F"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Ciljana vrijednost 2026.</w:t>
            </w:r>
          </w:p>
        </w:tc>
        <w:tc>
          <w:tcPr>
            <w:tcW w:w="1105" w:type="dxa"/>
            <w:tcBorders>
              <w:top w:val="single" w:sz="4" w:space="0" w:color="auto"/>
              <w:left w:val="nil"/>
              <w:bottom w:val="single" w:sz="4" w:space="0" w:color="auto"/>
              <w:right w:val="single" w:sz="4" w:space="0" w:color="auto"/>
            </w:tcBorders>
            <w:shd w:val="clear" w:color="auto" w:fill="D9D9D9"/>
            <w:vAlign w:val="center"/>
          </w:tcPr>
          <w:p w14:paraId="60F59878"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Ciljana vrijednost 2027.</w:t>
            </w:r>
          </w:p>
        </w:tc>
        <w:tc>
          <w:tcPr>
            <w:tcW w:w="1021" w:type="dxa"/>
            <w:tcBorders>
              <w:top w:val="single" w:sz="4" w:space="0" w:color="auto"/>
              <w:left w:val="nil"/>
              <w:bottom w:val="single" w:sz="4" w:space="0" w:color="auto"/>
              <w:right w:val="single" w:sz="4" w:space="0" w:color="auto"/>
            </w:tcBorders>
            <w:shd w:val="clear" w:color="auto" w:fill="D9D9D9"/>
            <w:vAlign w:val="center"/>
          </w:tcPr>
          <w:p w14:paraId="48E714ED" w14:textId="77777777" w:rsidR="006F4912" w:rsidRPr="006F4912" w:rsidRDefault="006F4912" w:rsidP="006F4912">
            <w:pPr>
              <w:spacing w:after="0" w:line="240" w:lineRule="auto"/>
              <w:jc w:val="center"/>
              <w:rPr>
                <w:rFonts w:ascii="Times New Roman" w:eastAsia="Times New Roman" w:hAnsi="Times New Roman" w:cs="Times New Roman"/>
                <w:b/>
                <w:bCs/>
                <w:sz w:val="18"/>
                <w:szCs w:val="18"/>
              </w:rPr>
            </w:pPr>
            <w:r w:rsidRPr="006F4912">
              <w:rPr>
                <w:rFonts w:ascii="Times New Roman" w:eastAsia="Times New Roman" w:hAnsi="Times New Roman" w:cs="Times New Roman"/>
                <w:b/>
                <w:bCs/>
                <w:sz w:val="18"/>
                <w:szCs w:val="18"/>
              </w:rPr>
              <w:t>Ciljana vrijednost 2028.</w:t>
            </w:r>
          </w:p>
        </w:tc>
      </w:tr>
      <w:tr w:rsidR="006F4912" w:rsidRPr="006F4912" w14:paraId="14D5C4D4"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557B8B0B" w14:textId="500097F6" w:rsidR="006F4912" w:rsidRPr="006F4912" w:rsidRDefault="006F4912" w:rsidP="00887D36">
            <w:pPr>
              <w:spacing w:line="256" w:lineRule="auto"/>
              <w:rPr>
                <w:rFonts w:ascii="Times New Roman" w:eastAsia="Calibri" w:hAnsi="Times New Roman" w:cs="Times New Roman"/>
              </w:rPr>
            </w:pPr>
            <w:r w:rsidRPr="006F4912">
              <w:rPr>
                <w:rFonts w:ascii="Times New Roman" w:eastAsia="Calibri" w:hAnsi="Times New Roman" w:cs="Times New Roman"/>
              </w:rPr>
              <w:t>Udio redovnih studenata iz ranjivih skupina u ukupnom broju redovnih studenata</w:t>
            </w:r>
          </w:p>
        </w:tc>
        <w:tc>
          <w:tcPr>
            <w:tcW w:w="1560" w:type="dxa"/>
            <w:tcBorders>
              <w:top w:val="single" w:sz="4" w:space="0" w:color="auto"/>
              <w:left w:val="nil"/>
              <w:bottom w:val="single" w:sz="4" w:space="0" w:color="auto"/>
              <w:right w:val="single" w:sz="4" w:space="0" w:color="auto"/>
            </w:tcBorders>
            <w:noWrap/>
            <w:vAlign w:val="center"/>
          </w:tcPr>
          <w:p w14:paraId="7F921037" w14:textId="77777777" w:rsidR="006F4912" w:rsidRPr="006F4912" w:rsidRDefault="006F4912" w:rsidP="006F4912">
            <w:pPr>
              <w:spacing w:line="256" w:lineRule="auto"/>
              <w:rPr>
                <w:rFonts w:ascii="Times New Roman" w:eastAsia="Times New Roman" w:hAnsi="Times New Roman" w:cs="Times New Roman"/>
                <w:bCs/>
              </w:rPr>
            </w:pPr>
            <w:r w:rsidRPr="006F4912">
              <w:rPr>
                <w:rFonts w:ascii="Times New Roman" w:eastAsia="Calibri" w:hAnsi="Times New Roman" w:cs="Times New Roman"/>
                <w:bCs/>
              </w:rPr>
              <w:t>Jačanje društvene odgovornosti</w:t>
            </w:r>
          </w:p>
        </w:tc>
        <w:tc>
          <w:tcPr>
            <w:tcW w:w="850" w:type="dxa"/>
            <w:tcBorders>
              <w:top w:val="single" w:sz="4" w:space="0" w:color="auto"/>
              <w:left w:val="nil"/>
              <w:bottom w:val="single" w:sz="4" w:space="0" w:color="auto"/>
              <w:right w:val="single" w:sz="4" w:space="0" w:color="auto"/>
            </w:tcBorders>
            <w:noWrap/>
            <w:vAlign w:val="center"/>
          </w:tcPr>
          <w:p w14:paraId="21850B6A"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w:t>
            </w:r>
          </w:p>
        </w:tc>
        <w:tc>
          <w:tcPr>
            <w:tcW w:w="1134" w:type="dxa"/>
            <w:tcBorders>
              <w:top w:val="single" w:sz="4" w:space="0" w:color="auto"/>
              <w:left w:val="nil"/>
              <w:bottom w:val="single" w:sz="4" w:space="0" w:color="auto"/>
              <w:right w:val="single" w:sz="4" w:space="0" w:color="auto"/>
            </w:tcBorders>
            <w:noWrap/>
            <w:vAlign w:val="center"/>
          </w:tcPr>
          <w:p w14:paraId="081397AF"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 xml:space="preserve">8,6% </w:t>
            </w:r>
          </w:p>
        </w:tc>
        <w:tc>
          <w:tcPr>
            <w:tcW w:w="1276" w:type="dxa"/>
            <w:tcBorders>
              <w:top w:val="single" w:sz="4" w:space="0" w:color="auto"/>
              <w:left w:val="nil"/>
              <w:bottom w:val="single" w:sz="4" w:space="0" w:color="auto"/>
              <w:right w:val="single" w:sz="4" w:space="0" w:color="auto"/>
            </w:tcBorders>
            <w:noWrap/>
            <w:vAlign w:val="center"/>
          </w:tcPr>
          <w:p w14:paraId="72AED48F"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Prodekani za integrirani studij i studente</w:t>
            </w:r>
          </w:p>
        </w:tc>
        <w:tc>
          <w:tcPr>
            <w:tcW w:w="1134" w:type="dxa"/>
            <w:tcBorders>
              <w:top w:val="single" w:sz="4" w:space="0" w:color="auto"/>
              <w:left w:val="nil"/>
              <w:bottom w:val="single" w:sz="4" w:space="0" w:color="auto"/>
              <w:right w:val="single" w:sz="4" w:space="0" w:color="auto"/>
            </w:tcBorders>
            <w:noWrap/>
            <w:vAlign w:val="center"/>
          </w:tcPr>
          <w:p w14:paraId="381D76CC"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8,8%</w:t>
            </w:r>
          </w:p>
        </w:tc>
        <w:tc>
          <w:tcPr>
            <w:tcW w:w="1105" w:type="dxa"/>
            <w:tcBorders>
              <w:top w:val="single" w:sz="4" w:space="0" w:color="auto"/>
              <w:left w:val="nil"/>
              <w:bottom w:val="single" w:sz="4" w:space="0" w:color="auto"/>
              <w:right w:val="single" w:sz="4" w:space="0" w:color="auto"/>
            </w:tcBorders>
            <w:noWrap/>
            <w:vAlign w:val="center"/>
          </w:tcPr>
          <w:p w14:paraId="5D634BE5"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9%</w:t>
            </w:r>
          </w:p>
        </w:tc>
        <w:tc>
          <w:tcPr>
            <w:tcW w:w="1021" w:type="dxa"/>
            <w:tcBorders>
              <w:top w:val="single" w:sz="4" w:space="0" w:color="auto"/>
              <w:left w:val="nil"/>
              <w:bottom w:val="single" w:sz="4" w:space="0" w:color="auto"/>
              <w:right w:val="single" w:sz="4" w:space="0" w:color="auto"/>
            </w:tcBorders>
            <w:noWrap/>
            <w:vAlign w:val="center"/>
          </w:tcPr>
          <w:p w14:paraId="45637D96"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9,4%</w:t>
            </w:r>
          </w:p>
        </w:tc>
      </w:tr>
      <w:tr w:rsidR="006F4912" w:rsidRPr="006F4912" w14:paraId="488C6651"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67ECAA9E" w14:textId="77777777" w:rsidR="006F4912" w:rsidRPr="006F4912" w:rsidRDefault="006F4912" w:rsidP="006F4912">
            <w:pPr>
              <w:spacing w:line="256" w:lineRule="auto"/>
              <w:rPr>
                <w:rFonts w:ascii="Times New Roman" w:eastAsia="Calibri" w:hAnsi="Times New Roman" w:cs="Times New Roman"/>
              </w:rPr>
            </w:pPr>
            <w:r w:rsidRPr="006F4912">
              <w:rPr>
                <w:rFonts w:ascii="Times New Roman" w:eastAsia="Calibri" w:hAnsi="Times New Roman" w:cs="Times New Roman"/>
              </w:rPr>
              <w:t>Broj poduzetih mjera za promicanje kulture jednakosti i ravnopravnosti</w:t>
            </w:r>
          </w:p>
          <w:p w14:paraId="7D5A52AD" w14:textId="77777777" w:rsidR="006F4912" w:rsidRPr="006F4912" w:rsidRDefault="006F4912" w:rsidP="006F4912">
            <w:pPr>
              <w:spacing w:after="0" w:line="240" w:lineRule="auto"/>
              <w:rPr>
                <w:rFonts w:ascii="Times New Roman" w:eastAsia="Times New Roman" w:hAnsi="Times New Roman" w:cs="Times New Roman"/>
              </w:rPr>
            </w:pPr>
          </w:p>
        </w:tc>
        <w:tc>
          <w:tcPr>
            <w:tcW w:w="1560" w:type="dxa"/>
            <w:tcBorders>
              <w:top w:val="single" w:sz="4" w:space="0" w:color="auto"/>
              <w:left w:val="nil"/>
              <w:bottom w:val="single" w:sz="4" w:space="0" w:color="auto"/>
              <w:right w:val="single" w:sz="4" w:space="0" w:color="auto"/>
            </w:tcBorders>
            <w:noWrap/>
            <w:vAlign w:val="center"/>
          </w:tcPr>
          <w:p w14:paraId="0D22AA8A" w14:textId="77777777" w:rsidR="006F4912" w:rsidRPr="006F4912" w:rsidRDefault="006F4912" w:rsidP="006F4912">
            <w:pPr>
              <w:spacing w:after="0" w:line="240" w:lineRule="auto"/>
              <w:rPr>
                <w:rFonts w:ascii="Times New Roman" w:eastAsia="Times New Roman" w:hAnsi="Times New Roman" w:cs="Times New Roman"/>
                <w:bCs/>
              </w:rPr>
            </w:pPr>
            <w:r w:rsidRPr="006F4912">
              <w:rPr>
                <w:rFonts w:ascii="Times New Roman" w:eastAsia="Calibri" w:hAnsi="Times New Roman" w:cs="Times New Roman"/>
                <w:bCs/>
              </w:rPr>
              <w:t>Jačanje društvene odgovornosti</w:t>
            </w:r>
          </w:p>
        </w:tc>
        <w:tc>
          <w:tcPr>
            <w:tcW w:w="850" w:type="dxa"/>
            <w:tcBorders>
              <w:top w:val="single" w:sz="4" w:space="0" w:color="auto"/>
              <w:left w:val="nil"/>
              <w:bottom w:val="single" w:sz="4" w:space="0" w:color="auto"/>
              <w:right w:val="single" w:sz="4" w:space="0" w:color="auto"/>
            </w:tcBorders>
            <w:noWrap/>
            <w:vAlign w:val="center"/>
          </w:tcPr>
          <w:p w14:paraId="05F534FF"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2AFECB57"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6</w:t>
            </w:r>
          </w:p>
        </w:tc>
        <w:tc>
          <w:tcPr>
            <w:tcW w:w="1276" w:type="dxa"/>
            <w:tcBorders>
              <w:top w:val="single" w:sz="4" w:space="0" w:color="auto"/>
              <w:left w:val="nil"/>
              <w:bottom w:val="single" w:sz="4" w:space="0" w:color="auto"/>
              <w:right w:val="single" w:sz="4" w:space="0" w:color="auto"/>
            </w:tcBorders>
            <w:noWrap/>
            <w:vAlign w:val="center"/>
          </w:tcPr>
          <w:p w14:paraId="0BCBA4FF"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Prodekani za integrirani studij i studente</w:t>
            </w:r>
          </w:p>
        </w:tc>
        <w:tc>
          <w:tcPr>
            <w:tcW w:w="1134" w:type="dxa"/>
            <w:tcBorders>
              <w:top w:val="single" w:sz="4" w:space="0" w:color="auto"/>
              <w:left w:val="nil"/>
              <w:bottom w:val="single" w:sz="4" w:space="0" w:color="auto"/>
              <w:right w:val="single" w:sz="4" w:space="0" w:color="auto"/>
            </w:tcBorders>
            <w:noWrap/>
            <w:vAlign w:val="center"/>
          </w:tcPr>
          <w:p w14:paraId="1E857CB1"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8</w:t>
            </w:r>
          </w:p>
        </w:tc>
        <w:tc>
          <w:tcPr>
            <w:tcW w:w="1105" w:type="dxa"/>
            <w:tcBorders>
              <w:top w:val="single" w:sz="4" w:space="0" w:color="auto"/>
              <w:left w:val="nil"/>
              <w:bottom w:val="single" w:sz="4" w:space="0" w:color="auto"/>
              <w:right w:val="single" w:sz="4" w:space="0" w:color="auto"/>
            </w:tcBorders>
            <w:noWrap/>
            <w:vAlign w:val="center"/>
          </w:tcPr>
          <w:p w14:paraId="020D52AB"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10</w:t>
            </w:r>
          </w:p>
        </w:tc>
        <w:tc>
          <w:tcPr>
            <w:tcW w:w="1021" w:type="dxa"/>
            <w:tcBorders>
              <w:top w:val="single" w:sz="4" w:space="0" w:color="auto"/>
              <w:left w:val="nil"/>
              <w:bottom w:val="single" w:sz="4" w:space="0" w:color="auto"/>
              <w:right w:val="single" w:sz="4" w:space="0" w:color="auto"/>
            </w:tcBorders>
            <w:noWrap/>
            <w:vAlign w:val="center"/>
          </w:tcPr>
          <w:p w14:paraId="54291EB8"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14</w:t>
            </w:r>
          </w:p>
        </w:tc>
      </w:tr>
      <w:tr w:rsidR="006F4912" w:rsidRPr="006F4912" w14:paraId="5DDD547C"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4D3E0A5D"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Količina aktivnosti s ciljem digitalne transformacije poslovanja</w:t>
            </w:r>
          </w:p>
        </w:tc>
        <w:tc>
          <w:tcPr>
            <w:tcW w:w="1560" w:type="dxa"/>
            <w:tcBorders>
              <w:top w:val="single" w:sz="4" w:space="0" w:color="auto"/>
              <w:left w:val="nil"/>
              <w:bottom w:val="single" w:sz="4" w:space="0" w:color="auto"/>
              <w:right w:val="single" w:sz="4" w:space="0" w:color="auto"/>
            </w:tcBorders>
            <w:noWrap/>
            <w:vAlign w:val="center"/>
          </w:tcPr>
          <w:p w14:paraId="602082ED" w14:textId="77777777" w:rsidR="006F4912" w:rsidRPr="006F4912" w:rsidRDefault="006F4912" w:rsidP="006F4912">
            <w:pPr>
              <w:spacing w:after="0" w:line="240" w:lineRule="auto"/>
              <w:rPr>
                <w:rFonts w:ascii="Times New Roman" w:eastAsia="Times New Roman" w:hAnsi="Times New Roman" w:cs="Times New Roman"/>
                <w:bCs/>
              </w:rPr>
            </w:pPr>
            <w:r w:rsidRPr="006F4912">
              <w:rPr>
                <w:rFonts w:ascii="Times New Roman" w:eastAsia="Calibri" w:hAnsi="Times New Roman" w:cs="Times New Roman"/>
                <w:bCs/>
              </w:rPr>
              <w:t>Digitalizacija poslovanja</w:t>
            </w:r>
            <w:r w:rsidRPr="006F4912">
              <w:rPr>
                <w:rFonts w:ascii="Times New Roman" w:eastAsia="Times New Roman" w:hAnsi="Times New Roman" w:cs="Times New Roman"/>
                <w:bCs/>
              </w:rPr>
              <w:t xml:space="preserve"> </w:t>
            </w:r>
          </w:p>
        </w:tc>
        <w:tc>
          <w:tcPr>
            <w:tcW w:w="850" w:type="dxa"/>
            <w:tcBorders>
              <w:top w:val="single" w:sz="4" w:space="0" w:color="auto"/>
              <w:left w:val="nil"/>
              <w:bottom w:val="single" w:sz="4" w:space="0" w:color="auto"/>
              <w:right w:val="single" w:sz="4" w:space="0" w:color="auto"/>
            </w:tcBorders>
            <w:noWrap/>
            <w:vAlign w:val="center"/>
          </w:tcPr>
          <w:p w14:paraId="5A4BA293"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22A8D17F"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w:t>
            </w:r>
          </w:p>
        </w:tc>
        <w:tc>
          <w:tcPr>
            <w:tcW w:w="1276" w:type="dxa"/>
            <w:tcBorders>
              <w:top w:val="single" w:sz="4" w:space="0" w:color="auto"/>
              <w:left w:val="nil"/>
              <w:bottom w:val="single" w:sz="4" w:space="0" w:color="auto"/>
              <w:right w:val="single" w:sz="4" w:space="0" w:color="auto"/>
            </w:tcBorders>
            <w:noWrap/>
            <w:vAlign w:val="center"/>
          </w:tcPr>
          <w:p w14:paraId="4179C4C9"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 za financijsko poslovanje i investicije</w:t>
            </w:r>
          </w:p>
        </w:tc>
        <w:tc>
          <w:tcPr>
            <w:tcW w:w="1134" w:type="dxa"/>
            <w:tcBorders>
              <w:top w:val="single" w:sz="4" w:space="0" w:color="auto"/>
              <w:left w:val="nil"/>
              <w:bottom w:val="single" w:sz="4" w:space="0" w:color="auto"/>
              <w:right w:val="single" w:sz="4" w:space="0" w:color="auto"/>
            </w:tcBorders>
            <w:noWrap/>
            <w:vAlign w:val="center"/>
          </w:tcPr>
          <w:p w14:paraId="777F3014"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5</w:t>
            </w:r>
          </w:p>
        </w:tc>
        <w:tc>
          <w:tcPr>
            <w:tcW w:w="1105" w:type="dxa"/>
            <w:tcBorders>
              <w:top w:val="single" w:sz="4" w:space="0" w:color="auto"/>
              <w:left w:val="nil"/>
              <w:bottom w:val="single" w:sz="4" w:space="0" w:color="auto"/>
              <w:right w:val="single" w:sz="4" w:space="0" w:color="auto"/>
            </w:tcBorders>
            <w:noWrap/>
            <w:vAlign w:val="center"/>
          </w:tcPr>
          <w:p w14:paraId="65646008"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6</w:t>
            </w:r>
          </w:p>
        </w:tc>
        <w:tc>
          <w:tcPr>
            <w:tcW w:w="1021" w:type="dxa"/>
            <w:tcBorders>
              <w:top w:val="single" w:sz="4" w:space="0" w:color="auto"/>
              <w:left w:val="nil"/>
              <w:bottom w:val="single" w:sz="4" w:space="0" w:color="auto"/>
              <w:right w:val="single" w:sz="4" w:space="0" w:color="auto"/>
            </w:tcBorders>
            <w:noWrap/>
            <w:vAlign w:val="center"/>
          </w:tcPr>
          <w:p w14:paraId="56C4FAFB"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7</w:t>
            </w:r>
          </w:p>
        </w:tc>
      </w:tr>
      <w:tr w:rsidR="006F4912" w:rsidRPr="006F4912" w14:paraId="15F2118D"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0EFF0911"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Calibri" w:hAnsi="Times New Roman" w:cs="Times New Roman"/>
              </w:rPr>
              <w:t>Broj aktivnosti s ciljem podizanja energetske učinkovitosti</w:t>
            </w:r>
          </w:p>
        </w:tc>
        <w:tc>
          <w:tcPr>
            <w:tcW w:w="1560" w:type="dxa"/>
            <w:tcBorders>
              <w:top w:val="single" w:sz="4" w:space="0" w:color="auto"/>
              <w:left w:val="nil"/>
              <w:bottom w:val="single" w:sz="4" w:space="0" w:color="auto"/>
              <w:right w:val="single" w:sz="4" w:space="0" w:color="auto"/>
            </w:tcBorders>
            <w:noWrap/>
            <w:vAlign w:val="center"/>
          </w:tcPr>
          <w:p w14:paraId="690B99DB" w14:textId="77777777" w:rsidR="006F4912" w:rsidRPr="006F4912" w:rsidRDefault="006F4912" w:rsidP="006F4912">
            <w:pPr>
              <w:spacing w:after="0" w:line="240" w:lineRule="auto"/>
              <w:rPr>
                <w:rFonts w:ascii="Times New Roman" w:eastAsia="Times New Roman" w:hAnsi="Times New Roman" w:cs="Times New Roman"/>
                <w:bCs/>
              </w:rPr>
            </w:pPr>
            <w:r w:rsidRPr="006F4912">
              <w:rPr>
                <w:rFonts w:ascii="Times New Roman" w:eastAsia="Calibri" w:hAnsi="Times New Roman" w:cs="Times New Roman"/>
                <w:bCs/>
              </w:rPr>
              <w:t>Jačanje zelene tranzicije</w:t>
            </w:r>
          </w:p>
        </w:tc>
        <w:tc>
          <w:tcPr>
            <w:tcW w:w="850" w:type="dxa"/>
            <w:tcBorders>
              <w:top w:val="single" w:sz="4" w:space="0" w:color="auto"/>
              <w:left w:val="nil"/>
              <w:bottom w:val="single" w:sz="4" w:space="0" w:color="auto"/>
              <w:right w:val="single" w:sz="4" w:space="0" w:color="auto"/>
            </w:tcBorders>
            <w:noWrap/>
            <w:vAlign w:val="center"/>
          </w:tcPr>
          <w:p w14:paraId="7D1A47BD"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743F0E0D"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w:t>
            </w:r>
          </w:p>
        </w:tc>
        <w:tc>
          <w:tcPr>
            <w:tcW w:w="1276" w:type="dxa"/>
            <w:tcBorders>
              <w:top w:val="single" w:sz="4" w:space="0" w:color="auto"/>
              <w:left w:val="nil"/>
              <w:bottom w:val="single" w:sz="4" w:space="0" w:color="auto"/>
              <w:right w:val="single" w:sz="4" w:space="0" w:color="auto"/>
            </w:tcBorders>
            <w:noWrap/>
            <w:vAlign w:val="center"/>
          </w:tcPr>
          <w:p w14:paraId="320AF43F"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 za financijsko poslovanje i investicije</w:t>
            </w:r>
          </w:p>
        </w:tc>
        <w:tc>
          <w:tcPr>
            <w:tcW w:w="1134" w:type="dxa"/>
            <w:tcBorders>
              <w:top w:val="single" w:sz="4" w:space="0" w:color="auto"/>
              <w:left w:val="nil"/>
              <w:bottom w:val="single" w:sz="4" w:space="0" w:color="auto"/>
              <w:right w:val="single" w:sz="4" w:space="0" w:color="auto"/>
            </w:tcBorders>
            <w:noWrap/>
            <w:vAlign w:val="center"/>
          </w:tcPr>
          <w:p w14:paraId="6948E189"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5</w:t>
            </w:r>
          </w:p>
        </w:tc>
        <w:tc>
          <w:tcPr>
            <w:tcW w:w="1105" w:type="dxa"/>
            <w:tcBorders>
              <w:top w:val="single" w:sz="4" w:space="0" w:color="auto"/>
              <w:left w:val="nil"/>
              <w:bottom w:val="single" w:sz="4" w:space="0" w:color="auto"/>
              <w:right w:val="single" w:sz="4" w:space="0" w:color="auto"/>
            </w:tcBorders>
            <w:noWrap/>
            <w:vAlign w:val="center"/>
          </w:tcPr>
          <w:p w14:paraId="2C013E01"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7</w:t>
            </w:r>
          </w:p>
        </w:tc>
        <w:tc>
          <w:tcPr>
            <w:tcW w:w="1021" w:type="dxa"/>
            <w:tcBorders>
              <w:top w:val="single" w:sz="4" w:space="0" w:color="auto"/>
              <w:left w:val="nil"/>
              <w:bottom w:val="single" w:sz="4" w:space="0" w:color="auto"/>
              <w:right w:val="single" w:sz="4" w:space="0" w:color="auto"/>
            </w:tcBorders>
            <w:noWrap/>
            <w:vAlign w:val="center"/>
          </w:tcPr>
          <w:p w14:paraId="46B48228"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9</w:t>
            </w:r>
          </w:p>
        </w:tc>
      </w:tr>
      <w:tr w:rsidR="006F4912" w:rsidRPr="006F4912" w14:paraId="63BEED5A" w14:textId="77777777" w:rsidTr="00AC358B">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0297F99C" w14:textId="77777777" w:rsidR="006F4912" w:rsidRPr="006F4912" w:rsidRDefault="006F4912" w:rsidP="006F4912">
            <w:pPr>
              <w:spacing w:line="256" w:lineRule="auto"/>
              <w:rPr>
                <w:rFonts w:ascii="Times New Roman" w:eastAsia="Calibri" w:hAnsi="Times New Roman" w:cs="Times New Roman"/>
                <w:b/>
              </w:rPr>
            </w:pPr>
            <w:r w:rsidRPr="006F4912">
              <w:rPr>
                <w:rFonts w:ascii="Times New Roman" w:eastAsia="Calibri" w:hAnsi="Times New Roman" w:cs="Times New Roman"/>
              </w:rPr>
              <w:t>Broj aktivnosti popularizacije znanosti i umjetnosti</w:t>
            </w:r>
          </w:p>
          <w:p w14:paraId="1B4F8FAB" w14:textId="77777777" w:rsidR="006F4912" w:rsidRPr="006F4912" w:rsidRDefault="006F4912" w:rsidP="006F4912">
            <w:pPr>
              <w:spacing w:after="0" w:line="240" w:lineRule="auto"/>
              <w:rPr>
                <w:rFonts w:ascii="Times New Roman" w:eastAsia="Times New Roman" w:hAnsi="Times New Roman" w:cs="Times New Roman"/>
              </w:rPr>
            </w:pPr>
          </w:p>
        </w:tc>
        <w:tc>
          <w:tcPr>
            <w:tcW w:w="1560" w:type="dxa"/>
            <w:tcBorders>
              <w:top w:val="single" w:sz="4" w:space="0" w:color="auto"/>
              <w:left w:val="nil"/>
              <w:bottom w:val="single" w:sz="4" w:space="0" w:color="auto"/>
              <w:right w:val="single" w:sz="4" w:space="0" w:color="auto"/>
            </w:tcBorders>
            <w:noWrap/>
            <w:vAlign w:val="center"/>
          </w:tcPr>
          <w:p w14:paraId="56475D3A" w14:textId="77777777" w:rsidR="006F4912" w:rsidRPr="006F4912" w:rsidRDefault="006F4912" w:rsidP="006F4912">
            <w:pPr>
              <w:spacing w:after="0" w:line="240" w:lineRule="auto"/>
              <w:rPr>
                <w:rFonts w:ascii="Times New Roman" w:eastAsia="Times New Roman" w:hAnsi="Times New Roman" w:cs="Times New Roman"/>
                <w:bCs/>
              </w:rPr>
            </w:pPr>
            <w:r w:rsidRPr="006F4912">
              <w:rPr>
                <w:rFonts w:ascii="Times New Roman" w:eastAsia="Calibri" w:hAnsi="Times New Roman" w:cs="Times New Roman"/>
                <w:bCs/>
              </w:rPr>
              <w:t>Popularizacija znanosti i umjetnosti</w:t>
            </w:r>
          </w:p>
        </w:tc>
        <w:tc>
          <w:tcPr>
            <w:tcW w:w="850" w:type="dxa"/>
            <w:tcBorders>
              <w:top w:val="single" w:sz="4" w:space="0" w:color="auto"/>
              <w:left w:val="nil"/>
              <w:bottom w:val="single" w:sz="4" w:space="0" w:color="auto"/>
              <w:right w:val="single" w:sz="4" w:space="0" w:color="auto"/>
            </w:tcBorders>
            <w:noWrap/>
            <w:vAlign w:val="center"/>
          </w:tcPr>
          <w:p w14:paraId="0AD05D34"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Broj</w:t>
            </w:r>
          </w:p>
        </w:tc>
        <w:tc>
          <w:tcPr>
            <w:tcW w:w="1134" w:type="dxa"/>
            <w:tcBorders>
              <w:top w:val="single" w:sz="4" w:space="0" w:color="auto"/>
              <w:left w:val="nil"/>
              <w:bottom w:val="single" w:sz="4" w:space="0" w:color="auto"/>
              <w:right w:val="single" w:sz="4" w:space="0" w:color="auto"/>
            </w:tcBorders>
            <w:noWrap/>
            <w:vAlign w:val="center"/>
          </w:tcPr>
          <w:p w14:paraId="76945347"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25</w:t>
            </w:r>
          </w:p>
        </w:tc>
        <w:tc>
          <w:tcPr>
            <w:tcW w:w="1276" w:type="dxa"/>
            <w:tcBorders>
              <w:top w:val="single" w:sz="4" w:space="0" w:color="auto"/>
              <w:left w:val="nil"/>
              <w:bottom w:val="single" w:sz="4" w:space="0" w:color="auto"/>
              <w:right w:val="single" w:sz="4" w:space="0" w:color="auto"/>
            </w:tcBorders>
            <w:noWrap/>
            <w:vAlign w:val="center"/>
          </w:tcPr>
          <w:p w14:paraId="334BBE42" w14:textId="77777777" w:rsidR="006F4912" w:rsidRPr="006F4912" w:rsidRDefault="006F4912" w:rsidP="006F4912">
            <w:pPr>
              <w:spacing w:after="0" w:line="240" w:lineRule="auto"/>
              <w:rPr>
                <w:rFonts w:ascii="Times New Roman" w:eastAsia="Times New Roman" w:hAnsi="Times New Roman" w:cs="Times New Roman"/>
              </w:rPr>
            </w:pPr>
            <w:r w:rsidRPr="006F4912">
              <w:rPr>
                <w:rFonts w:ascii="Times New Roman" w:eastAsia="Times New Roman" w:hAnsi="Times New Roman" w:cs="Times New Roman"/>
              </w:rPr>
              <w:t>Prodekani za integrirani studij i studente</w:t>
            </w:r>
          </w:p>
        </w:tc>
        <w:tc>
          <w:tcPr>
            <w:tcW w:w="1134" w:type="dxa"/>
            <w:tcBorders>
              <w:top w:val="single" w:sz="4" w:space="0" w:color="auto"/>
              <w:left w:val="nil"/>
              <w:bottom w:val="single" w:sz="4" w:space="0" w:color="auto"/>
              <w:right w:val="single" w:sz="4" w:space="0" w:color="auto"/>
            </w:tcBorders>
            <w:noWrap/>
            <w:vAlign w:val="center"/>
          </w:tcPr>
          <w:p w14:paraId="7BCEC05E"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27</w:t>
            </w:r>
          </w:p>
        </w:tc>
        <w:tc>
          <w:tcPr>
            <w:tcW w:w="1105" w:type="dxa"/>
            <w:tcBorders>
              <w:top w:val="single" w:sz="4" w:space="0" w:color="auto"/>
              <w:left w:val="nil"/>
              <w:bottom w:val="single" w:sz="4" w:space="0" w:color="auto"/>
              <w:right w:val="single" w:sz="4" w:space="0" w:color="auto"/>
            </w:tcBorders>
            <w:noWrap/>
            <w:vAlign w:val="center"/>
          </w:tcPr>
          <w:p w14:paraId="45B6C08C"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30</w:t>
            </w:r>
          </w:p>
        </w:tc>
        <w:tc>
          <w:tcPr>
            <w:tcW w:w="1021" w:type="dxa"/>
            <w:tcBorders>
              <w:top w:val="single" w:sz="4" w:space="0" w:color="auto"/>
              <w:left w:val="nil"/>
              <w:bottom w:val="single" w:sz="4" w:space="0" w:color="auto"/>
              <w:right w:val="single" w:sz="4" w:space="0" w:color="auto"/>
            </w:tcBorders>
            <w:noWrap/>
            <w:vAlign w:val="center"/>
          </w:tcPr>
          <w:p w14:paraId="0F059201" w14:textId="77777777" w:rsidR="006F4912" w:rsidRPr="006F4912" w:rsidRDefault="006F4912" w:rsidP="006F4912">
            <w:pPr>
              <w:spacing w:after="0" w:line="240" w:lineRule="auto"/>
              <w:jc w:val="center"/>
              <w:rPr>
                <w:rFonts w:ascii="Times New Roman" w:eastAsia="Times New Roman" w:hAnsi="Times New Roman" w:cs="Times New Roman"/>
              </w:rPr>
            </w:pPr>
            <w:r w:rsidRPr="006F4912">
              <w:rPr>
                <w:rFonts w:ascii="Times New Roman" w:eastAsia="Times New Roman" w:hAnsi="Times New Roman" w:cs="Times New Roman"/>
              </w:rPr>
              <w:t>35</w:t>
            </w:r>
          </w:p>
        </w:tc>
      </w:tr>
    </w:tbl>
    <w:p w14:paraId="2EA4905B" w14:textId="77777777" w:rsidR="006F4912" w:rsidRPr="006F4912" w:rsidRDefault="006F4912" w:rsidP="006F4912">
      <w:pPr>
        <w:spacing w:line="278" w:lineRule="auto"/>
        <w:rPr>
          <w:rFonts w:ascii="Times New Roman" w:eastAsia="Aptos" w:hAnsi="Times New Roman" w:cs="Times New Roman"/>
          <w:kern w:val="2"/>
          <w:sz w:val="24"/>
          <w:szCs w:val="24"/>
          <w14:ligatures w14:val="standardContextual"/>
        </w:rPr>
      </w:pPr>
    </w:p>
    <w:p w14:paraId="0A11D5AD" w14:textId="77777777" w:rsidR="006F4912" w:rsidRDefault="006F4912" w:rsidP="00351FDD">
      <w:pPr>
        <w:spacing w:line="240" w:lineRule="auto"/>
        <w:jc w:val="both"/>
        <w:rPr>
          <w:rFonts w:ascii="Times New Roman" w:hAnsi="Times New Roman" w:cs="Times New Roman"/>
          <w:sz w:val="24"/>
          <w:szCs w:val="24"/>
        </w:rPr>
      </w:pPr>
    </w:p>
    <w:p w14:paraId="6E43014C" w14:textId="2DCCD5E7" w:rsidR="00B470AC" w:rsidRDefault="00B470AC" w:rsidP="00351FD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 Zagrebu, </w:t>
      </w:r>
      <w:r w:rsidR="00C51E7A">
        <w:rPr>
          <w:rFonts w:ascii="Times New Roman" w:hAnsi="Times New Roman" w:cs="Times New Roman"/>
          <w:sz w:val="24"/>
          <w:szCs w:val="24"/>
        </w:rPr>
        <w:t>29.10.2025.</w:t>
      </w:r>
    </w:p>
    <w:p w14:paraId="1E26DEAE" w14:textId="77777777" w:rsidR="00C51E7A" w:rsidRDefault="00C51E7A" w:rsidP="00351FDD">
      <w:pPr>
        <w:spacing w:line="240" w:lineRule="auto"/>
        <w:jc w:val="both"/>
        <w:rPr>
          <w:rFonts w:ascii="Times New Roman" w:hAnsi="Times New Roman" w:cs="Times New Roman"/>
          <w:sz w:val="24"/>
          <w:szCs w:val="24"/>
        </w:rPr>
      </w:pPr>
    </w:p>
    <w:p w14:paraId="3DE56140" w14:textId="77777777" w:rsidR="00C51E7A" w:rsidRDefault="00C51E7A" w:rsidP="00351FDD">
      <w:pPr>
        <w:spacing w:line="240" w:lineRule="auto"/>
        <w:jc w:val="both"/>
        <w:rPr>
          <w:rFonts w:ascii="Times New Roman" w:hAnsi="Times New Roman" w:cs="Times New Roman"/>
          <w:sz w:val="24"/>
          <w:szCs w:val="24"/>
        </w:rPr>
      </w:pPr>
    </w:p>
    <w:p w14:paraId="18855097" w14:textId="2EFFB7A6" w:rsidR="00C51E7A" w:rsidRDefault="00C51E7A" w:rsidP="00351FD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Dekan:</w:t>
      </w:r>
    </w:p>
    <w:p w14:paraId="4722CDB4" w14:textId="581D9965" w:rsidR="00C51E7A" w:rsidRPr="001E2B7E" w:rsidRDefault="00C51E7A" w:rsidP="00351FD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prof. dr. sc. Marko Samardžija</w:t>
      </w:r>
    </w:p>
    <w:sectPr w:rsidR="00C51E7A" w:rsidRPr="001E2B7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8E40" w14:textId="77777777" w:rsidR="00314D91" w:rsidRDefault="00314D91">
      <w:pPr>
        <w:spacing w:after="0" w:line="240" w:lineRule="auto"/>
      </w:pPr>
      <w:r>
        <w:separator/>
      </w:r>
    </w:p>
  </w:endnote>
  <w:endnote w:type="continuationSeparator" w:id="0">
    <w:p w14:paraId="05306A81" w14:textId="77777777" w:rsidR="00314D91" w:rsidRDefault="0031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515545"/>
      <w:docPartObj>
        <w:docPartGallery w:val="Page Numbers (Bottom of Page)"/>
        <w:docPartUnique/>
      </w:docPartObj>
    </w:sdtPr>
    <w:sdtContent>
      <w:p w14:paraId="2D8CB9A2" w14:textId="77777777" w:rsidR="002D4B6C" w:rsidRDefault="009E2203">
        <w:pPr>
          <w:pStyle w:val="Footer"/>
          <w:jc w:val="right"/>
        </w:pPr>
        <w:r>
          <w:fldChar w:fldCharType="begin"/>
        </w:r>
        <w:r>
          <w:instrText>PAGE   \* MERGEFORMAT</w:instrText>
        </w:r>
        <w:r>
          <w:fldChar w:fldCharType="separate"/>
        </w:r>
        <w:r w:rsidR="0004750B">
          <w:rPr>
            <w:noProof/>
          </w:rPr>
          <w:t>11</w:t>
        </w:r>
        <w:r>
          <w:fldChar w:fldCharType="end"/>
        </w:r>
      </w:p>
    </w:sdtContent>
  </w:sdt>
  <w:p w14:paraId="0ABA4D87" w14:textId="77777777" w:rsidR="002D4B6C" w:rsidRDefault="002D4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42F0" w14:textId="77777777" w:rsidR="00314D91" w:rsidRDefault="00314D91">
      <w:pPr>
        <w:spacing w:after="0" w:line="240" w:lineRule="auto"/>
      </w:pPr>
      <w:r>
        <w:separator/>
      </w:r>
    </w:p>
  </w:footnote>
  <w:footnote w:type="continuationSeparator" w:id="0">
    <w:p w14:paraId="12ED2421" w14:textId="77777777" w:rsidR="00314D91" w:rsidRDefault="00314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5053"/>
    <w:multiLevelType w:val="hybridMultilevel"/>
    <w:tmpl w:val="67208F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EC089B"/>
    <w:multiLevelType w:val="multilevel"/>
    <w:tmpl w:val="CC8A4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491DDE"/>
    <w:multiLevelType w:val="multilevel"/>
    <w:tmpl w:val="6E22882A"/>
    <w:lvl w:ilvl="0">
      <w:start w:val="3"/>
      <w:numFmt w:val="decimal"/>
      <w:lvlText w:val="%1."/>
      <w:lvlJc w:val="left"/>
      <w:pPr>
        <w:ind w:left="390" w:hanging="390"/>
      </w:pPr>
      <w:rPr>
        <w:rFonts w:hint="default"/>
        <w:color w:val="auto"/>
      </w:rPr>
    </w:lvl>
    <w:lvl w:ilvl="1">
      <w:start w:val="2"/>
      <w:numFmt w:val="decimal"/>
      <w:lvlText w:val="%1.%2."/>
      <w:lvlJc w:val="left"/>
      <w:pPr>
        <w:ind w:left="2880" w:hanging="720"/>
      </w:pPr>
      <w:rPr>
        <w:rFonts w:hint="default"/>
        <w:color w:val="auto"/>
      </w:rPr>
    </w:lvl>
    <w:lvl w:ilvl="2">
      <w:start w:val="1"/>
      <w:numFmt w:val="decimal"/>
      <w:lvlText w:val="%1.%2.%3."/>
      <w:lvlJc w:val="left"/>
      <w:pPr>
        <w:ind w:left="5040" w:hanging="720"/>
      </w:pPr>
      <w:rPr>
        <w:rFonts w:hint="default"/>
        <w:color w:val="auto"/>
      </w:rPr>
    </w:lvl>
    <w:lvl w:ilvl="3">
      <w:start w:val="1"/>
      <w:numFmt w:val="decimal"/>
      <w:lvlText w:val="%1.%2.%3.%4."/>
      <w:lvlJc w:val="left"/>
      <w:pPr>
        <w:ind w:left="7560" w:hanging="1080"/>
      </w:pPr>
      <w:rPr>
        <w:rFonts w:hint="default"/>
        <w:color w:val="auto"/>
      </w:rPr>
    </w:lvl>
    <w:lvl w:ilvl="4">
      <w:start w:val="1"/>
      <w:numFmt w:val="decimal"/>
      <w:lvlText w:val="%1.%2.%3.%4.%5."/>
      <w:lvlJc w:val="left"/>
      <w:pPr>
        <w:ind w:left="9720" w:hanging="1080"/>
      </w:pPr>
      <w:rPr>
        <w:rFonts w:hint="default"/>
        <w:color w:val="auto"/>
      </w:rPr>
    </w:lvl>
    <w:lvl w:ilvl="5">
      <w:start w:val="1"/>
      <w:numFmt w:val="decimal"/>
      <w:lvlText w:val="%1.%2.%3.%4.%5.%6."/>
      <w:lvlJc w:val="left"/>
      <w:pPr>
        <w:ind w:left="12240" w:hanging="1440"/>
      </w:pPr>
      <w:rPr>
        <w:rFonts w:hint="default"/>
        <w:color w:val="auto"/>
      </w:rPr>
    </w:lvl>
    <w:lvl w:ilvl="6">
      <w:start w:val="1"/>
      <w:numFmt w:val="decimal"/>
      <w:lvlText w:val="%1.%2.%3.%4.%5.%6.%7."/>
      <w:lvlJc w:val="left"/>
      <w:pPr>
        <w:ind w:left="14400" w:hanging="1440"/>
      </w:pPr>
      <w:rPr>
        <w:rFonts w:hint="default"/>
        <w:color w:val="auto"/>
      </w:rPr>
    </w:lvl>
    <w:lvl w:ilvl="7">
      <w:start w:val="1"/>
      <w:numFmt w:val="decimal"/>
      <w:lvlText w:val="%1.%2.%3.%4.%5.%6.%7.%8."/>
      <w:lvlJc w:val="left"/>
      <w:pPr>
        <w:ind w:left="16920" w:hanging="1800"/>
      </w:pPr>
      <w:rPr>
        <w:rFonts w:hint="default"/>
        <w:color w:val="auto"/>
      </w:rPr>
    </w:lvl>
    <w:lvl w:ilvl="8">
      <w:start w:val="1"/>
      <w:numFmt w:val="decimal"/>
      <w:lvlText w:val="%1.%2.%3.%4.%5.%6.%7.%8.%9."/>
      <w:lvlJc w:val="left"/>
      <w:pPr>
        <w:ind w:left="19440" w:hanging="2160"/>
      </w:pPr>
      <w:rPr>
        <w:rFonts w:hint="default"/>
        <w:color w:val="auto"/>
      </w:rPr>
    </w:lvl>
  </w:abstractNum>
  <w:abstractNum w:abstractNumId="5" w15:restartNumberingAfterBreak="0">
    <w:nsid w:val="15650366"/>
    <w:multiLevelType w:val="hybridMultilevel"/>
    <w:tmpl w:val="1652A63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7F2FE1"/>
    <w:multiLevelType w:val="hybridMultilevel"/>
    <w:tmpl w:val="254AF92A"/>
    <w:lvl w:ilvl="0" w:tplc="8A567A7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EBD57D0"/>
    <w:multiLevelType w:val="hybridMultilevel"/>
    <w:tmpl w:val="447802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0D0AAC"/>
    <w:multiLevelType w:val="hybridMultilevel"/>
    <w:tmpl w:val="2918D89A"/>
    <w:lvl w:ilvl="0" w:tplc="FFFFFFFF">
      <w:start w:val="1"/>
      <w:numFmt w:val="decimal"/>
      <w:lvlText w:val="%1."/>
      <w:lvlJc w:val="left"/>
      <w:pPr>
        <w:ind w:left="720" w:hanging="360"/>
      </w:pPr>
    </w:lvl>
    <w:lvl w:ilvl="1" w:tplc="8A567A7A">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637F2E"/>
    <w:multiLevelType w:val="hybridMultilevel"/>
    <w:tmpl w:val="A2285B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07699A"/>
    <w:multiLevelType w:val="multilevel"/>
    <w:tmpl w:val="2776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4418C"/>
    <w:multiLevelType w:val="hybridMultilevel"/>
    <w:tmpl w:val="92044B08"/>
    <w:lvl w:ilvl="0" w:tplc="8A567A7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0AA2332"/>
    <w:multiLevelType w:val="hybridMultilevel"/>
    <w:tmpl w:val="193EB5D4"/>
    <w:lvl w:ilvl="0" w:tplc="F91E9608">
      <w:start w:val="43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D316F"/>
    <w:multiLevelType w:val="hybridMultilevel"/>
    <w:tmpl w:val="72A45B9E"/>
    <w:lvl w:ilvl="0" w:tplc="27F67AD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DEB1433"/>
    <w:multiLevelType w:val="hybridMultilevel"/>
    <w:tmpl w:val="6D34F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7A07B80"/>
    <w:multiLevelType w:val="hybridMultilevel"/>
    <w:tmpl w:val="9ABCCCB2"/>
    <w:lvl w:ilvl="0" w:tplc="27F67AD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4153C"/>
    <w:multiLevelType w:val="hybridMultilevel"/>
    <w:tmpl w:val="8CDC42D0"/>
    <w:lvl w:ilvl="0" w:tplc="27F67AD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9D390B"/>
    <w:multiLevelType w:val="hybridMultilevel"/>
    <w:tmpl w:val="E67E0156"/>
    <w:lvl w:ilvl="0" w:tplc="FFFFFFFF">
      <w:start w:val="1"/>
      <w:numFmt w:val="decimal"/>
      <w:lvlText w:val="%1."/>
      <w:lvlJc w:val="left"/>
      <w:pPr>
        <w:ind w:left="720" w:hanging="360"/>
      </w:pPr>
    </w:lvl>
    <w:lvl w:ilvl="1" w:tplc="8A567A7A">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6066655">
    <w:abstractNumId w:val="13"/>
  </w:num>
  <w:num w:numId="2" w16cid:durableId="7951966">
    <w:abstractNumId w:val="18"/>
  </w:num>
  <w:num w:numId="3" w16cid:durableId="920722056">
    <w:abstractNumId w:val="6"/>
  </w:num>
  <w:num w:numId="4" w16cid:durableId="310722015">
    <w:abstractNumId w:val="16"/>
  </w:num>
  <w:num w:numId="5" w16cid:durableId="1626034679">
    <w:abstractNumId w:val="2"/>
  </w:num>
  <w:num w:numId="6" w16cid:durableId="49110956">
    <w:abstractNumId w:val="3"/>
  </w:num>
  <w:num w:numId="7" w16cid:durableId="1877159372">
    <w:abstractNumId w:val="11"/>
  </w:num>
  <w:num w:numId="8" w16cid:durableId="465509036">
    <w:abstractNumId w:val="1"/>
  </w:num>
  <w:num w:numId="9" w16cid:durableId="1384478920">
    <w:abstractNumId w:val="4"/>
  </w:num>
  <w:num w:numId="10" w16cid:durableId="696394902">
    <w:abstractNumId w:val="17"/>
  </w:num>
  <w:num w:numId="11" w16cid:durableId="672874887">
    <w:abstractNumId w:val="19"/>
  </w:num>
  <w:num w:numId="12" w16cid:durableId="393237574">
    <w:abstractNumId w:val="14"/>
  </w:num>
  <w:num w:numId="13" w16cid:durableId="1689481761">
    <w:abstractNumId w:val="20"/>
  </w:num>
  <w:num w:numId="14" w16cid:durableId="533807918">
    <w:abstractNumId w:val="15"/>
  </w:num>
  <w:num w:numId="15" w16cid:durableId="848643522">
    <w:abstractNumId w:val="10"/>
  </w:num>
  <w:num w:numId="16" w16cid:durableId="1660229613">
    <w:abstractNumId w:val="0"/>
  </w:num>
  <w:num w:numId="17" w16cid:durableId="1520776422">
    <w:abstractNumId w:val="5"/>
  </w:num>
  <w:num w:numId="18" w16cid:durableId="162549018">
    <w:abstractNumId w:val="9"/>
  </w:num>
  <w:num w:numId="19" w16cid:durableId="500390113">
    <w:abstractNumId w:val="21"/>
  </w:num>
  <w:num w:numId="20" w16cid:durableId="912278357">
    <w:abstractNumId w:val="12"/>
  </w:num>
  <w:num w:numId="21" w16cid:durableId="962537812">
    <w:abstractNumId w:val="8"/>
  </w:num>
  <w:num w:numId="22" w16cid:durableId="906721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CF"/>
    <w:rsid w:val="00004532"/>
    <w:rsid w:val="00005996"/>
    <w:rsid w:val="0001148C"/>
    <w:rsid w:val="00021EB7"/>
    <w:rsid w:val="00026F7E"/>
    <w:rsid w:val="00034BEC"/>
    <w:rsid w:val="00034DE4"/>
    <w:rsid w:val="00041714"/>
    <w:rsid w:val="00044865"/>
    <w:rsid w:val="0004750B"/>
    <w:rsid w:val="00060A01"/>
    <w:rsid w:val="00060D38"/>
    <w:rsid w:val="000665F7"/>
    <w:rsid w:val="000728A4"/>
    <w:rsid w:val="000743BC"/>
    <w:rsid w:val="00086D29"/>
    <w:rsid w:val="00091852"/>
    <w:rsid w:val="00093568"/>
    <w:rsid w:val="000A2723"/>
    <w:rsid w:val="000A411C"/>
    <w:rsid w:val="000B3347"/>
    <w:rsid w:val="000C7465"/>
    <w:rsid w:val="000D1407"/>
    <w:rsid w:val="000D599E"/>
    <w:rsid w:val="000E210A"/>
    <w:rsid w:val="000E33E8"/>
    <w:rsid w:val="000F275B"/>
    <w:rsid w:val="000F4FB9"/>
    <w:rsid w:val="000F57EB"/>
    <w:rsid w:val="00104B1E"/>
    <w:rsid w:val="001110F0"/>
    <w:rsid w:val="00114E8D"/>
    <w:rsid w:val="00121947"/>
    <w:rsid w:val="001251CE"/>
    <w:rsid w:val="00125958"/>
    <w:rsid w:val="0013666D"/>
    <w:rsid w:val="001368A9"/>
    <w:rsid w:val="001406ED"/>
    <w:rsid w:val="00146480"/>
    <w:rsid w:val="00155697"/>
    <w:rsid w:val="00173204"/>
    <w:rsid w:val="0017549F"/>
    <w:rsid w:val="00191DDC"/>
    <w:rsid w:val="001B0F7A"/>
    <w:rsid w:val="001C0B26"/>
    <w:rsid w:val="001C3538"/>
    <w:rsid w:val="001C507A"/>
    <w:rsid w:val="001C61A7"/>
    <w:rsid w:val="001D06D0"/>
    <w:rsid w:val="001D0A31"/>
    <w:rsid w:val="001E078F"/>
    <w:rsid w:val="001E2B7E"/>
    <w:rsid w:val="001E4153"/>
    <w:rsid w:val="001E6568"/>
    <w:rsid w:val="001F5E65"/>
    <w:rsid w:val="002015A8"/>
    <w:rsid w:val="00204B3D"/>
    <w:rsid w:val="00210AA8"/>
    <w:rsid w:val="002140F9"/>
    <w:rsid w:val="00214CD7"/>
    <w:rsid w:val="00216247"/>
    <w:rsid w:val="00220BF7"/>
    <w:rsid w:val="0022282A"/>
    <w:rsid w:val="00227D81"/>
    <w:rsid w:val="002328B0"/>
    <w:rsid w:val="00233D1F"/>
    <w:rsid w:val="00235335"/>
    <w:rsid w:val="00236ADC"/>
    <w:rsid w:val="00252174"/>
    <w:rsid w:val="00252AB1"/>
    <w:rsid w:val="00256D2E"/>
    <w:rsid w:val="0029273D"/>
    <w:rsid w:val="00295451"/>
    <w:rsid w:val="002A269F"/>
    <w:rsid w:val="002A550E"/>
    <w:rsid w:val="002B0C6A"/>
    <w:rsid w:val="002B2F91"/>
    <w:rsid w:val="002B49F1"/>
    <w:rsid w:val="002C026D"/>
    <w:rsid w:val="002C2F62"/>
    <w:rsid w:val="002C5F21"/>
    <w:rsid w:val="002C7121"/>
    <w:rsid w:val="002D26CA"/>
    <w:rsid w:val="002D444E"/>
    <w:rsid w:val="002D4B6C"/>
    <w:rsid w:val="002D73AA"/>
    <w:rsid w:val="002E0CFD"/>
    <w:rsid w:val="002F23C1"/>
    <w:rsid w:val="0030026A"/>
    <w:rsid w:val="00306178"/>
    <w:rsid w:val="00306AB8"/>
    <w:rsid w:val="00314D91"/>
    <w:rsid w:val="003239CD"/>
    <w:rsid w:val="00324025"/>
    <w:rsid w:val="00324046"/>
    <w:rsid w:val="00324213"/>
    <w:rsid w:val="003411A8"/>
    <w:rsid w:val="0034158A"/>
    <w:rsid w:val="00342441"/>
    <w:rsid w:val="00344AD0"/>
    <w:rsid w:val="00351FDD"/>
    <w:rsid w:val="003549D3"/>
    <w:rsid w:val="00356CF3"/>
    <w:rsid w:val="0036322E"/>
    <w:rsid w:val="003733DE"/>
    <w:rsid w:val="00375625"/>
    <w:rsid w:val="00382736"/>
    <w:rsid w:val="00390C5E"/>
    <w:rsid w:val="003935F1"/>
    <w:rsid w:val="003A382A"/>
    <w:rsid w:val="003A55C0"/>
    <w:rsid w:val="003A6FFF"/>
    <w:rsid w:val="003B2CF0"/>
    <w:rsid w:val="003C2B28"/>
    <w:rsid w:val="003F06B3"/>
    <w:rsid w:val="003F1246"/>
    <w:rsid w:val="003F577B"/>
    <w:rsid w:val="003F6B2A"/>
    <w:rsid w:val="00411B3C"/>
    <w:rsid w:val="00420201"/>
    <w:rsid w:val="00427D8B"/>
    <w:rsid w:val="00447480"/>
    <w:rsid w:val="00454861"/>
    <w:rsid w:val="004556FF"/>
    <w:rsid w:val="00490AC0"/>
    <w:rsid w:val="00494E91"/>
    <w:rsid w:val="004A4710"/>
    <w:rsid w:val="004A6394"/>
    <w:rsid w:val="004A6661"/>
    <w:rsid w:val="004B1287"/>
    <w:rsid w:val="004B1F92"/>
    <w:rsid w:val="004B3B9C"/>
    <w:rsid w:val="004C0A23"/>
    <w:rsid w:val="004C3A59"/>
    <w:rsid w:val="004D4DE0"/>
    <w:rsid w:val="004E02C5"/>
    <w:rsid w:val="004F66D0"/>
    <w:rsid w:val="005012ED"/>
    <w:rsid w:val="00503806"/>
    <w:rsid w:val="00505735"/>
    <w:rsid w:val="00512A0B"/>
    <w:rsid w:val="00515A65"/>
    <w:rsid w:val="005236FF"/>
    <w:rsid w:val="005250D3"/>
    <w:rsid w:val="00532DA4"/>
    <w:rsid w:val="00545DA1"/>
    <w:rsid w:val="00547387"/>
    <w:rsid w:val="00555E23"/>
    <w:rsid w:val="005564F2"/>
    <w:rsid w:val="005624E9"/>
    <w:rsid w:val="005713AE"/>
    <w:rsid w:val="00585281"/>
    <w:rsid w:val="00591148"/>
    <w:rsid w:val="005B7137"/>
    <w:rsid w:val="005C60BD"/>
    <w:rsid w:val="005C72CF"/>
    <w:rsid w:val="005D34C0"/>
    <w:rsid w:val="005D7870"/>
    <w:rsid w:val="005E2941"/>
    <w:rsid w:val="005E3ED8"/>
    <w:rsid w:val="005E5F0E"/>
    <w:rsid w:val="005E76C0"/>
    <w:rsid w:val="005F108C"/>
    <w:rsid w:val="0060047B"/>
    <w:rsid w:val="00607F29"/>
    <w:rsid w:val="00611828"/>
    <w:rsid w:val="00611BEE"/>
    <w:rsid w:val="006210BF"/>
    <w:rsid w:val="00623358"/>
    <w:rsid w:val="00630EF1"/>
    <w:rsid w:val="0063566D"/>
    <w:rsid w:val="00645D8E"/>
    <w:rsid w:val="006615A3"/>
    <w:rsid w:val="00662ACA"/>
    <w:rsid w:val="00670734"/>
    <w:rsid w:val="00670BCB"/>
    <w:rsid w:val="00672595"/>
    <w:rsid w:val="006769B9"/>
    <w:rsid w:val="0068095D"/>
    <w:rsid w:val="00684381"/>
    <w:rsid w:val="00692231"/>
    <w:rsid w:val="006929ED"/>
    <w:rsid w:val="00697B21"/>
    <w:rsid w:val="006A415B"/>
    <w:rsid w:val="006C1E2F"/>
    <w:rsid w:val="006C3B2F"/>
    <w:rsid w:val="006C65A8"/>
    <w:rsid w:val="006D0E3F"/>
    <w:rsid w:val="006E1C6B"/>
    <w:rsid w:val="006E3DC0"/>
    <w:rsid w:val="006E5631"/>
    <w:rsid w:val="006E5F48"/>
    <w:rsid w:val="006F4912"/>
    <w:rsid w:val="00703212"/>
    <w:rsid w:val="00703EB4"/>
    <w:rsid w:val="0071021E"/>
    <w:rsid w:val="00721F13"/>
    <w:rsid w:val="00725207"/>
    <w:rsid w:val="007258E1"/>
    <w:rsid w:val="00734E84"/>
    <w:rsid w:val="00735EA7"/>
    <w:rsid w:val="0074262F"/>
    <w:rsid w:val="00744EE4"/>
    <w:rsid w:val="00756797"/>
    <w:rsid w:val="0077114F"/>
    <w:rsid w:val="00791550"/>
    <w:rsid w:val="0079187D"/>
    <w:rsid w:val="00793A85"/>
    <w:rsid w:val="007A1EB9"/>
    <w:rsid w:val="007A3744"/>
    <w:rsid w:val="007A65D7"/>
    <w:rsid w:val="007A7163"/>
    <w:rsid w:val="007B4B33"/>
    <w:rsid w:val="007B5D4C"/>
    <w:rsid w:val="007C3B9A"/>
    <w:rsid w:val="007C43F1"/>
    <w:rsid w:val="007D0622"/>
    <w:rsid w:val="007E330A"/>
    <w:rsid w:val="007E5A56"/>
    <w:rsid w:val="007F1FD0"/>
    <w:rsid w:val="007F7FE3"/>
    <w:rsid w:val="0080333C"/>
    <w:rsid w:val="00817025"/>
    <w:rsid w:val="008223B8"/>
    <w:rsid w:val="00833357"/>
    <w:rsid w:val="00835788"/>
    <w:rsid w:val="008440B8"/>
    <w:rsid w:val="00845126"/>
    <w:rsid w:val="00846CD9"/>
    <w:rsid w:val="00846E65"/>
    <w:rsid w:val="00852161"/>
    <w:rsid w:val="00856A57"/>
    <w:rsid w:val="00857492"/>
    <w:rsid w:val="008750BD"/>
    <w:rsid w:val="00883635"/>
    <w:rsid w:val="00884679"/>
    <w:rsid w:val="008860EE"/>
    <w:rsid w:val="00887D36"/>
    <w:rsid w:val="00892EE6"/>
    <w:rsid w:val="0089595A"/>
    <w:rsid w:val="00895F5B"/>
    <w:rsid w:val="008A6991"/>
    <w:rsid w:val="008E0E0E"/>
    <w:rsid w:val="008E18D5"/>
    <w:rsid w:val="008F2030"/>
    <w:rsid w:val="008F5194"/>
    <w:rsid w:val="008F5205"/>
    <w:rsid w:val="009024AF"/>
    <w:rsid w:val="00903C40"/>
    <w:rsid w:val="00906BAF"/>
    <w:rsid w:val="00910569"/>
    <w:rsid w:val="00922E1F"/>
    <w:rsid w:val="00927915"/>
    <w:rsid w:val="00932111"/>
    <w:rsid w:val="009337A4"/>
    <w:rsid w:val="009340D0"/>
    <w:rsid w:val="00946BC1"/>
    <w:rsid w:val="00954958"/>
    <w:rsid w:val="00973B07"/>
    <w:rsid w:val="00984066"/>
    <w:rsid w:val="0099165F"/>
    <w:rsid w:val="00993503"/>
    <w:rsid w:val="00993533"/>
    <w:rsid w:val="009A0865"/>
    <w:rsid w:val="009A65A8"/>
    <w:rsid w:val="009A7DB7"/>
    <w:rsid w:val="009B0AAB"/>
    <w:rsid w:val="009D6D0A"/>
    <w:rsid w:val="009D7596"/>
    <w:rsid w:val="009E1B05"/>
    <w:rsid w:val="009E2203"/>
    <w:rsid w:val="00A02624"/>
    <w:rsid w:val="00A07494"/>
    <w:rsid w:val="00A124F7"/>
    <w:rsid w:val="00A128C5"/>
    <w:rsid w:val="00A13D75"/>
    <w:rsid w:val="00A14740"/>
    <w:rsid w:val="00A17B71"/>
    <w:rsid w:val="00A343DB"/>
    <w:rsid w:val="00A37531"/>
    <w:rsid w:val="00A37DB0"/>
    <w:rsid w:val="00A4793A"/>
    <w:rsid w:val="00A507C7"/>
    <w:rsid w:val="00A66B2B"/>
    <w:rsid w:val="00A7360C"/>
    <w:rsid w:val="00AA07BE"/>
    <w:rsid w:val="00AC6506"/>
    <w:rsid w:val="00AC70B6"/>
    <w:rsid w:val="00AD0E58"/>
    <w:rsid w:val="00AD5040"/>
    <w:rsid w:val="00AE4A52"/>
    <w:rsid w:val="00AF0131"/>
    <w:rsid w:val="00AF26F1"/>
    <w:rsid w:val="00B0717A"/>
    <w:rsid w:val="00B30D93"/>
    <w:rsid w:val="00B32496"/>
    <w:rsid w:val="00B470AC"/>
    <w:rsid w:val="00B50859"/>
    <w:rsid w:val="00B676ED"/>
    <w:rsid w:val="00B7386C"/>
    <w:rsid w:val="00B7598C"/>
    <w:rsid w:val="00B86C28"/>
    <w:rsid w:val="00B9510F"/>
    <w:rsid w:val="00BA257F"/>
    <w:rsid w:val="00BB4213"/>
    <w:rsid w:val="00BB47B9"/>
    <w:rsid w:val="00BB6BDC"/>
    <w:rsid w:val="00BC4125"/>
    <w:rsid w:val="00BD7FDD"/>
    <w:rsid w:val="00BE2B24"/>
    <w:rsid w:val="00BE68A2"/>
    <w:rsid w:val="00BE741E"/>
    <w:rsid w:val="00C00419"/>
    <w:rsid w:val="00C233D6"/>
    <w:rsid w:val="00C23D2F"/>
    <w:rsid w:val="00C248FF"/>
    <w:rsid w:val="00C3650F"/>
    <w:rsid w:val="00C51E7A"/>
    <w:rsid w:val="00C574D6"/>
    <w:rsid w:val="00C62EA1"/>
    <w:rsid w:val="00C81A3B"/>
    <w:rsid w:val="00C84559"/>
    <w:rsid w:val="00C95CA5"/>
    <w:rsid w:val="00CA622B"/>
    <w:rsid w:val="00CB5B06"/>
    <w:rsid w:val="00CB764D"/>
    <w:rsid w:val="00CC29D5"/>
    <w:rsid w:val="00CC6F20"/>
    <w:rsid w:val="00CE00D8"/>
    <w:rsid w:val="00CE41EF"/>
    <w:rsid w:val="00D01C4C"/>
    <w:rsid w:val="00D04A95"/>
    <w:rsid w:val="00D14100"/>
    <w:rsid w:val="00D22B6D"/>
    <w:rsid w:val="00D3116B"/>
    <w:rsid w:val="00D3423E"/>
    <w:rsid w:val="00D65112"/>
    <w:rsid w:val="00D65945"/>
    <w:rsid w:val="00D6702C"/>
    <w:rsid w:val="00D809F4"/>
    <w:rsid w:val="00D9631B"/>
    <w:rsid w:val="00DA7AFE"/>
    <w:rsid w:val="00DB0C88"/>
    <w:rsid w:val="00DB5F01"/>
    <w:rsid w:val="00DC1C4F"/>
    <w:rsid w:val="00DD0235"/>
    <w:rsid w:val="00DD08AF"/>
    <w:rsid w:val="00DD1003"/>
    <w:rsid w:val="00DD282C"/>
    <w:rsid w:val="00DD505B"/>
    <w:rsid w:val="00DD5068"/>
    <w:rsid w:val="00DE0701"/>
    <w:rsid w:val="00DE44E2"/>
    <w:rsid w:val="00DF3911"/>
    <w:rsid w:val="00DF41E2"/>
    <w:rsid w:val="00DF50C8"/>
    <w:rsid w:val="00DF6FAA"/>
    <w:rsid w:val="00E03BD2"/>
    <w:rsid w:val="00E0473D"/>
    <w:rsid w:val="00E05B91"/>
    <w:rsid w:val="00E07A85"/>
    <w:rsid w:val="00E245AF"/>
    <w:rsid w:val="00E25937"/>
    <w:rsid w:val="00E27FCF"/>
    <w:rsid w:val="00E33720"/>
    <w:rsid w:val="00E407C7"/>
    <w:rsid w:val="00E434A3"/>
    <w:rsid w:val="00E60379"/>
    <w:rsid w:val="00E62061"/>
    <w:rsid w:val="00E66BA7"/>
    <w:rsid w:val="00E6705C"/>
    <w:rsid w:val="00E735C2"/>
    <w:rsid w:val="00E743B7"/>
    <w:rsid w:val="00E7596F"/>
    <w:rsid w:val="00E80613"/>
    <w:rsid w:val="00E81258"/>
    <w:rsid w:val="00EA00A6"/>
    <w:rsid w:val="00EB1DF2"/>
    <w:rsid w:val="00EB3F28"/>
    <w:rsid w:val="00EC159D"/>
    <w:rsid w:val="00EC4A9E"/>
    <w:rsid w:val="00ED704E"/>
    <w:rsid w:val="00EF033D"/>
    <w:rsid w:val="00EF05CF"/>
    <w:rsid w:val="00F04095"/>
    <w:rsid w:val="00F12286"/>
    <w:rsid w:val="00F210BA"/>
    <w:rsid w:val="00F26503"/>
    <w:rsid w:val="00F27AA2"/>
    <w:rsid w:val="00F36BCB"/>
    <w:rsid w:val="00F42B90"/>
    <w:rsid w:val="00F44C92"/>
    <w:rsid w:val="00F51CA0"/>
    <w:rsid w:val="00F522E3"/>
    <w:rsid w:val="00F5442F"/>
    <w:rsid w:val="00F54913"/>
    <w:rsid w:val="00F5494D"/>
    <w:rsid w:val="00F5663D"/>
    <w:rsid w:val="00F568CD"/>
    <w:rsid w:val="00F637B6"/>
    <w:rsid w:val="00F75ACE"/>
    <w:rsid w:val="00F815A6"/>
    <w:rsid w:val="00F86A9C"/>
    <w:rsid w:val="00F97DCD"/>
    <w:rsid w:val="00FB7FC7"/>
    <w:rsid w:val="00FC6539"/>
    <w:rsid w:val="00FC658C"/>
    <w:rsid w:val="00FF22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C7FC"/>
  <w15:chartTrackingRefBased/>
  <w15:docId w15:val="{FD8EDEDB-B9BD-40E3-B3AC-00D9923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spacing w:after="0" w:line="240" w:lineRule="auto"/>
    </w:p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5CF"/>
    <w:pPr>
      <w:ind w:left="720"/>
      <w:contextualSpacing/>
    </w:pPr>
  </w:style>
  <w:style w:type="table" w:customStyle="1" w:styleId="TableGrid1">
    <w:name w:val="Table Grid1"/>
    <w:basedOn w:val="TableNormal"/>
    <w:next w:val="TableGrid"/>
    <w:uiPriority w:val="39"/>
    <w:rsid w:val="00494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24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2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570627">
      <w:bodyDiv w:val="1"/>
      <w:marLeft w:val="0"/>
      <w:marRight w:val="0"/>
      <w:marTop w:val="0"/>
      <w:marBottom w:val="0"/>
      <w:divBdr>
        <w:top w:val="none" w:sz="0" w:space="0" w:color="auto"/>
        <w:left w:val="none" w:sz="0" w:space="0" w:color="auto"/>
        <w:bottom w:val="none" w:sz="0" w:space="0" w:color="auto"/>
        <w:right w:val="none" w:sz="0" w:space="0" w:color="auto"/>
      </w:divBdr>
    </w:div>
    <w:div w:id="552693021">
      <w:bodyDiv w:val="1"/>
      <w:marLeft w:val="0"/>
      <w:marRight w:val="0"/>
      <w:marTop w:val="0"/>
      <w:marBottom w:val="0"/>
      <w:divBdr>
        <w:top w:val="none" w:sz="0" w:space="0" w:color="auto"/>
        <w:left w:val="none" w:sz="0" w:space="0" w:color="auto"/>
        <w:bottom w:val="none" w:sz="0" w:space="0" w:color="auto"/>
        <w:right w:val="none" w:sz="0" w:space="0" w:color="auto"/>
      </w:divBdr>
    </w:div>
    <w:div w:id="583421134">
      <w:bodyDiv w:val="1"/>
      <w:marLeft w:val="0"/>
      <w:marRight w:val="0"/>
      <w:marTop w:val="0"/>
      <w:marBottom w:val="0"/>
      <w:divBdr>
        <w:top w:val="none" w:sz="0" w:space="0" w:color="auto"/>
        <w:left w:val="none" w:sz="0" w:space="0" w:color="auto"/>
        <w:bottom w:val="none" w:sz="0" w:space="0" w:color="auto"/>
        <w:right w:val="none" w:sz="0" w:space="0" w:color="auto"/>
      </w:divBdr>
    </w:div>
    <w:div w:id="615795528">
      <w:bodyDiv w:val="1"/>
      <w:marLeft w:val="0"/>
      <w:marRight w:val="0"/>
      <w:marTop w:val="0"/>
      <w:marBottom w:val="0"/>
      <w:divBdr>
        <w:top w:val="none" w:sz="0" w:space="0" w:color="auto"/>
        <w:left w:val="none" w:sz="0" w:space="0" w:color="auto"/>
        <w:bottom w:val="none" w:sz="0" w:space="0" w:color="auto"/>
        <w:right w:val="none" w:sz="0" w:space="0" w:color="auto"/>
      </w:divBdr>
    </w:div>
    <w:div w:id="990713843">
      <w:bodyDiv w:val="1"/>
      <w:marLeft w:val="0"/>
      <w:marRight w:val="0"/>
      <w:marTop w:val="0"/>
      <w:marBottom w:val="0"/>
      <w:divBdr>
        <w:top w:val="none" w:sz="0" w:space="0" w:color="auto"/>
        <w:left w:val="none" w:sz="0" w:space="0" w:color="auto"/>
        <w:bottom w:val="none" w:sz="0" w:space="0" w:color="auto"/>
        <w:right w:val="none" w:sz="0" w:space="0" w:color="auto"/>
      </w:divBdr>
    </w:div>
    <w:div w:id="146842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6338</Words>
  <Characters>36131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Zagorac</dc:creator>
  <cp:keywords/>
  <dc:description/>
  <cp:lastModifiedBy>Katarina Goleš</cp:lastModifiedBy>
  <cp:revision>5</cp:revision>
  <cp:lastPrinted>2023-10-30T10:20:00Z</cp:lastPrinted>
  <dcterms:created xsi:type="dcterms:W3CDTF">2025-12-16T13:56:00Z</dcterms:created>
  <dcterms:modified xsi:type="dcterms:W3CDTF">2025-12-16T14:11:00Z</dcterms:modified>
</cp:coreProperties>
</file>